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04180" w:rsidRDefault="00F04180" w:rsidP="00F04180">
      <w:pPr>
        <w:rPr>
          <w:b/>
          <w:color w:val="1F4E79" w:themeColor="accent1" w:themeShade="80"/>
          <w:sz w:val="24"/>
          <w:szCs w:val="24"/>
        </w:rPr>
      </w:pPr>
      <w:r>
        <w:rPr>
          <w:b/>
          <w:color w:val="1F4E79" w:themeColor="accent1" w:themeShade="80"/>
          <w:sz w:val="24"/>
          <w:szCs w:val="24"/>
        </w:rPr>
        <w:t xml:space="preserve">Master i Samfunnsernæring - </w:t>
      </w:r>
      <w:r w:rsidRPr="001875CD">
        <w:rPr>
          <w:b/>
          <w:color w:val="1F4E79" w:themeColor="accent1" w:themeShade="80"/>
          <w:sz w:val="24"/>
          <w:szCs w:val="24"/>
        </w:rPr>
        <w:t>MAME4320</w:t>
      </w:r>
    </w:p>
    <w:p w:rsidR="00F04180" w:rsidRPr="001875CD" w:rsidRDefault="00F04180" w:rsidP="00F04180">
      <w:pPr>
        <w:rPr>
          <w:b/>
          <w:color w:val="1F4E79" w:themeColor="accent1" w:themeShade="80"/>
          <w:sz w:val="24"/>
          <w:szCs w:val="24"/>
        </w:rPr>
      </w:pPr>
      <w:r w:rsidRPr="001875CD">
        <w:rPr>
          <w:b/>
          <w:color w:val="1F4E79" w:themeColor="accent1" w:themeShade="80"/>
          <w:sz w:val="24"/>
          <w:szCs w:val="24"/>
        </w:rPr>
        <w:t>Overvekt og de store folkehelsesykdommene – forebygging og helsefremming</w:t>
      </w:r>
    </w:p>
    <w:p w:rsidR="00B70912" w:rsidRDefault="00634F71" w:rsidP="00B70912">
      <w:pPr>
        <w:rPr>
          <w:b/>
          <w:color w:val="1F4E79" w:themeColor="accent1" w:themeShade="80"/>
          <w:sz w:val="24"/>
          <w:szCs w:val="24"/>
        </w:rPr>
      </w:pPr>
      <w:r w:rsidRPr="001875CD">
        <w:rPr>
          <w:b/>
          <w:color w:val="1F4E79" w:themeColor="accent1" w:themeShade="80"/>
          <w:sz w:val="24"/>
          <w:szCs w:val="24"/>
        </w:rPr>
        <w:t>Antall ord:</w:t>
      </w:r>
      <w:r w:rsidR="00E61AA4">
        <w:rPr>
          <w:b/>
          <w:color w:val="1F4E79" w:themeColor="accent1" w:themeShade="80"/>
          <w:sz w:val="24"/>
          <w:szCs w:val="24"/>
        </w:rPr>
        <w:t xml:space="preserve"> 24</w:t>
      </w:r>
      <w:r w:rsidR="008F0BBC">
        <w:rPr>
          <w:b/>
          <w:color w:val="1F4E79" w:themeColor="accent1" w:themeShade="80"/>
          <w:sz w:val="24"/>
          <w:szCs w:val="24"/>
        </w:rPr>
        <w:t>84</w:t>
      </w:r>
      <w:r w:rsidR="00BD395D">
        <w:rPr>
          <w:b/>
          <w:color w:val="1F4E79" w:themeColor="accent1" w:themeShade="80"/>
          <w:sz w:val="24"/>
          <w:szCs w:val="24"/>
        </w:rPr>
        <w:t xml:space="preserve">, ekskludert </w:t>
      </w:r>
      <w:r w:rsidR="00661430">
        <w:rPr>
          <w:b/>
          <w:color w:val="1F4E79" w:themeColor="accent1" w:themeShade="80"/>
          <w:sz w:val="24"/>
          <w:szCs w:val="24"/>
        </w:rPr>
        <w:t xml:space="preserve">forside, </w:t>
      </w:r>
      <w:r w:rsidR="00BD395D">
        <w:rPr>
          <w:b/>
          <w:color w:val="1F4E79" w:themeColor="accent1" w:themeShade="80"/>
          <w:sz w:val="24"/>
          <w:szCs w:val="24"/>
        </w:rPr>
        <w:t>innholdsfortegnelse og referanser</w:t>
      </w:r>
    </w:p>
    <w:p w:rsidR="00B70912" w:rsidRPr="001875CD" w:rsidRDefault="00B70912" w:rsidP="00B70912">
      <w:pPr>
        <w:rPr>
          <w:b/>
          <w:color w:val="1F4E79" w:themeColor="accent1" w:themeShade="80"/>
          <w:sz w:val="24"/>
          <w:szCs w:val="24"/>
        </w:rPr>
      </w:pPr>
      <w:r w:rsidRPr="001875CD">
        <w:rPr>
          <w:b/>
          <w:color w:val="1F4E79" w:themeColor="accent1" w:themeShade="80"/>
          <w:sz w:val="24"/>
          <w:szCs w:val="24"/>
        </w:rPr>
        <w:t>Kandidatnr: 703</w:t>
      </w:r>
    </w:p>
    <w:p w:rsidR="00F04180" w:rsidRPr="001875CD" w:rsidRDefault="00F04180" w:rsidP="00F04180">
      <w:pPr>
        <w:rPr>
          <w:b/>
          <w:color w:val="1F4E79" w:themeColor="accent1" w:themeShade="80"/>
          <w:sz w:val="24"/>
          <w:szCs w:val="24"/>
        </w:rPr>
      </w:pPr>
      <w:r w:rsidRPr="001875CD">
        <w:rPr>
          <w:b/>
          <w:color w:val="1F4E79" w:themeColor="accent1" w:themeShade="80"/>
          <w:sz w:val="24"/>
          <w:szCs w:val="24"/>
        </w:rPr>
        <w:t>3-6 Juni 2015</w:t>
      </w:r>
    </w:p>
    <w:p w:rsidR="00F04180" w:rsidRPr="001875CD" w:rsidRDefault="00F04180" w:rsidP="00634F71">
      <w:pPr>
        <w:rPr>
          <w:b/>
          <w:color w:val="1F4E79" w:themeColor="accent1" w:themeShade="80"/>
          <w:sz w:val="24"/>
          <w:szCs w:val="24"/>
        </w:rPr>
      </w:pPr>
    </w:p>
    <w:p w:rsidR="00B24B10" w:rsidRPr="001875CD" w:rsidRDefault="00D25FB0">
      <w:pPr>
        <w:rPr>
          <w:color w:val="1F4E79" w:themeColor="accent1" w:themeShade="80"/>
          <w:sz w:val="24"/>
          <w:szCs w:val="24"/>
        </w:rPr>
      </w:pPr>
      <w:r>
        <w:rPr>
          <w:noProof/>
          <w:color w:val="5B9BD5" w:themeColor="accent1"/>
          <w:sz w:val="24"/>
          <w:szCs w:val="24"/>
          <w:lang w:eastAsia="nb-NO"/>
        </w:rPr>
        <w:drawing>
          <wp:anchor distT="0" distB="0" distL="114300" distR="114300" simplePos="0" relativeHeight="251658240" behindDoc="1" locked="0" layoutInCell="1" allowOverlap="1" wp14:anchorId="48522521" wp14:editId="126742C0">
            <wp:simplePos x="0" y="0"/>
            <wp:positionH relativeFrom="column">
              <wp:posOffset>594995</wp:posOffset>
            </wp:positionH>
            <wp:positionV relativeFrom="paragraph">
              <wp:posOffset>9525</wp:posOffset>
            </wp:positionV>
            <wp:extent cx="3609975" cy="1971675"/>
            <wp:effectExtent l="0" t="0" r="9525" b="9525"/>
            <wp:wrapSquare wrapText="bothSides"/>
            <wp:docPr id="3" name="Bil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ioa Logo En s-h orig.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609975" cy="1971675"/>
                    </a:xfrm>
                    <a:prstGeom prst="rect">
                      <a:avLst/>
                    </a:prstGeom>
                  </pic:spPr>
                </pic:pic>
              </a:graphicData>
            </a:graphic>
            <wp14:sizeRelH relativeFrom="margin">
              <wp14:pctWidth>0</wp14:pctWidth>
            </wp14:sizeRelH>
            <wp14:sizeRelV relativeFrom="margin">
              <wp14:pctHeight>0</wp14:pctHeight>
            </wp14:sizeRelV>
          </wp:anchor>
        </w:drawing>
      </w:r>
    </w:p>
    <w:p w:rsidR="00B24B10" w:rsidRPr="001875CD" w:rsidRDefault="00B24B10">
      <w:pPr>
        <w:rPr>
          <w:color w:val="1F4E79" w:themeColor="accent1" w:themeShade="80"/>
          <w:sz w:val="24"/>
          <w:szCs w:val="24"/>
        </w:rPr>
      </w:pPr>
    </w:p>
    <w:p w:rsidR="00B24B10" w:rsidRDefault="00B24B10">
      <w:pPr>
        <w:rPr>
          <w:sz w:val="24"/>
          <w:szCs w:val="24"/>
        </w:rPr>
      </w:pPr>
    </w:p>
    <w:p w:rsidR="00B24B10" w:rsidRDefault="00B24B10">
      <w:pPr>
        <w:rPr>
          <w:sz w:val="24"/>
          <w:szCs w:val="24"/>
        </w:rPr>
      </w:pPr>
    </w:p>
    <w:p w:rsidR="00B24B10" w:rsidRDefault="00B24B10">
      <w:pPr>
        <w:rPr>
          <w:sz w:val="24"/>
          <w:szCs w:val="24"/>
        </w:rPr>
      </w:pPr>
    </w:p>
    <w:p w:rsidR="00B24B10" w:rsidRDefault="00B24B10">
      <w:pPr>
        <w:rPr>
          <w:sz w:val="24"/>
          <w:szCs w:val="24"/>
        </w:rPr>
      </w:pPr>
    </w:p>
    <w:p w:rsidR="00B24B10" w:rsidRDefault="00B24B10">
      <w:pPr>
        <w:rPr>
          <w:sz w:val="24"/>
          <w:szCs w:val="24"/>
        </w:rPr>
      </w:pPr>
    </w:p>
    <w:p w:rsidR="00B24B10" w:rsidRDefault="00B24B10">
      <w:pPr>
        <w:rPr>
          <w:sz w:val="24"/>
          <w:szCs w:val="24"/>
        </w:rPr>
      </w:pPr>
    </w:p>
    <w:p w:rsidR="00B24B10" w:rsidRDefault="00B24B10">
      <w:pPr>
        <w:rPr>
          <w:sz w:val="24"/>
          <w:szCs w:val="24"/>
        </w:rPr>
      </w:pPr>
    </w:p>
    <w:p w:rsidR="00B24B10" w:rsidRDefault="00B24B10">
      <w:pPr>
        <w:rPr>
          <w:sz w:val="24"/>
          <w:szCs w:val="24"/>
        </w:rPr>
      </w:pPr>
    </w:p>
    <w:p w:rsidR="00B24B10" w:rsidRDefault="00B24B10">
      <w:pPr>
        <w:rPr>
          <w:sz w:val="24"/>
          <w:szCs w:val="24"/>
        </w:rPr>
      </w:pPr>
    </w:p>
    <w:p w:rsidR="00B24B10" w:rsidRDefault="00B24B10">
      <w:pPr>
        <w:rPr>
          <w:sz w:val="24"/>
          <w:szCs w:val="24"/>
        </w:rPr>
      </w:pPr>
    </w:p>
    <w:p w:rsidR="00B24B10" w:rsidRDefault="00B24B10">
      <w:pPr>
        <w:rPr>
          <w:sz w:val="24"/>
          <w:szCs w:val="24"/>
        </w:rPr>
      </w:pPr>
    </w:p>
    <w:p w:rsidR="00B24B10" w:rsidRDefault="00B24B10">
      <w:pPr>
        <w:rPr>
          <w:sz w:val="24"/>
          <w:szCs w:val="24"/>
        </w:rPr>
      </w:pPr>
    </w:p>
    <w:p w:rsidR="00B24B10" w:rsidRDefault="00B24B10">
      <w:pPr>
        <w:rPr>
          <w:sz w:val="24"/>
          <w:szCs w:val="24"/>
        </w:rPr>
      </w:pPr>
    </w:p>
    <w:p w:rsidR="00B24B10" w:rsidRDefault="00B24B10">
      <w:pPr>
        <w:rPr>
          <w:sz w:val="24"/>
          <w:szCs w:val="24"/>
        </w:rPr>
      </w:pPr>
    </w:p>
    <w:p w:rsidR="00B24B10" w:rsidRDefault="00B24B10">
      <w:pPr>
        <w:rPr>
          <w:sz w:val="24"/>
          <w:szCs w:val="24"/>
        </w:rPr>
      </w:pPr>
    </w:p>
    <w:p w:rsidR="00B24B10" w:rsidRDefault="00B24B10">
      <w:pPr>
        <w:rPr>
          <w:sz w:val="24"/>
          <w:szCs w:val="24"/>
        </w:rPr>
      </w:pPr>
    </w:p>
    <w:p w:rsidR="00B24B10" w:rsidRDefault="00B24B10">
      <w:pPr>
        <w:rPr>
          <w:sz w:val="24"/>
          <w:szCs w:val="24"/>
        </w:rPr>
      </w:pPr>
    </w:p>
    <w:p w:rsidR="00B24B10" w:rsidRDefault="00B24B10">
      <w:pPr>
        <w:rPr>
          <w:sz w:val="24"/>
          <w:szCs w:val="24"/>
        </w:rPr>
      </w:pPr>
    </w:p>
    <w:p w:rsidR="00B24B10" w:rsidRDefault="00B24B10">
      <w:pPr>
        <w:rPr>
          <w:sz w:val="24"/>
          <w:szCs w:val="24"/>
        </w:rPr>
      </w:pPr>
    </w:p>
    <w:p w:rsidR="00B24B10" w:rsidRDefault="00B24B10">
      <w:pPr>
        <w:rPr>
          <w:sz w:val="24"/>
          <w:szCs w:val="24"/>
        </w:rPr>
      </w:pPr>
    </w:p>
    <w:sdt>
      <w:sdtPr>
        <w:rPr>
          <w:rFonts w:asciiTheme="minorHAnsi" w:eastAsiaTheme="minorHAnsi" w:hAnsiTheme="minorHAnsi" w:cstheme="minorBidi"/>
          <w:color w:val="auto"/>
          <w:sz w:val="22"/>
          <w:szCs w:val="22"/>
          <w:lang w:eastAsia="en-US"/>
        </w:rPr>
        <w:id w:val="-663397434"/>
        <w:docPartObj>
          <w:docPartGallery w:val="Table of Contents"/>
          <w:docPartUnique/>
        </w:docPartObj>
      </w:sdtPr>
      <w:sdtEndPr>
        <w:rPr>
          <w:b/>
          <w:bCs/>
        </w:rPr>
      </w:sdtEndPr>
      <w:sdtContent>
        <w:p w:rsidR="002536EA" w:rsidRDefault="002536EA">
          <w:pPr>
            <w:pStyle w:val="Overskriftforinnholdsfortegnelse"/>
          </w:pPr>
          <w:r w:rsidRPr="001875CD">
            <w:rPr>
              <w:color w:val="1F4E79" w:themeColor="accent1" w:themeShade="80"/>
            </w:rPr>
            <w:t>Innhold</w:t>
          </w:r>
        </w:p>
        <w:p w:rsidR="00AC1479" w:rsidRDefault="002536EA">
          <w:pPr>
            <w:pStyle w:val="INNH1"/>
            <w:tabs>
              <w:tab w:val="right" w:leader="dot" w:pos="9060"/>
            </w:tabs>
            <w:rPr>
              <w:rFonts w:eastAsiaTheme="minorEastAsia"/>
              <w:noProof/>
              <w:lang w:eastAsia="nb-NO"/>
            </w:rPr>
          </w:pPr>
          <w:r>
            <w:fldChar w:fldCharType="begin"/>
          </w:r>
          <w:r>
            <w:instrText xml:space="preserve"> TOC \o "1-3" \h \z \u </w:instrText>
          </w:r>
          <w:r>
            <w:fldChar w:fldCharType="separate"/>
          </w:r>
          <w:hyperlink w:anchor="_Toc421263268" w:history="1">
            <w:r w:rsidR="00AC1479" w:rsidRPr="002868F3">
              <w:rPr>
                <w:rStyle w:val="Hyperkobling"/>
                <w:noProof/>
                <w:color w:val="023160" w:themeColor="hyperlink" w:themeShade="80"/>
              </w:rPr>
              <w:t>Overvekt – bakgrunn for valg av denne tematikken</w:t>
            </w:r>
            <w:r w:rsidR="00AC1479">
              <w:rPr>
                <w:noProof/>
                <w:webHidden/>
              </w:rPr>
              <w:tab/>
            </w:r>
            <w:r w:rsidR="00AC1479">
              <w:rPr>
                <w:noProof/>
                <w:webHidden/>
              </w:rPr>
              <w:fldChar w:fldCharType="begin"/>
            </w:r>
            <w:r w:rsidR="00AC1479">
              <w:rPr>
                <w:noProof/>
                <w:webHidden/>
              </w:rPr>
              <w:instrText xml:space="preserve"> PAGEREF _Toc421263268 \h </w:instrText>
            </w:r>
            <w:r w:rsidR="00AC1479">
              <w:rPr>
                <w:noProof/>
                <w:webHidden/>
              </w:rPr>
            </w:r>
            <w:r w:rsidR="00AC1479">
              <w:rPr>
                <w:noProof/>
                <w:webHidden/>
              </w:rPr>
              <w:fldChar w:fldCharType="separate"/>
            </w:r>
            <w:r w:rsidR="00AC1479">
              <w:rPr>
                <w:noProof/>
                <w:webHidden/>
              </w:rPr>
              <w:t>2</w:t>
            </w:r>
            <w:r w:rsidR="00AC1479">
              <w:rPr>
                <w:noProof/>
                <w:webHidden/>
              </w:rPr>
              <w:fldChar w:fldCharType="end"/>
            </w:r>
          </w:hyperlink>
        </w:p>
        <w:p w:rsidR="00AC1479" w:rsidRDefault="006866B7">
          <w:pPr>
            <w:pStyle w:val="INNH2"/>
            <w:tabs>
              <w:tab w:val="right" w:leader="dot" w:pos="9060"/>
            </w:tabs>
            <w:rPr>
              <w:rFonts w:eastAsiaTheme="minorEastAsia"/>
              <w:noProof/>
              <w:lang w:eastAsia="nb-NO"/>
            </w:rPr>
          </w:pPr>
          <w:hyperlink w:anchor="_Toc421263269" w:history="1">
            <w:r w:rsidR="00AC1479" w:rsidRPr="002868F3">
              <w:rPr>
                <w:rStyle w:val="Hyperkobling"/>
                <w:noProof/>
                <w:color w:val="023160" w:themeColor="hyperlink" w:themeShade="80"/>
              </w:rPr>
              <w:t>Hva er overvekt og fedme?</w:t>
            </w:r>
            <w:r w:rsidR="00AC1479">
              <w:rPr>
                <w:noProof/>
                <w:webHidden/>
              </w:rPr>
              <w:tab/>
            </w:r>
            <w:r w:rsidR="00AC1479">
              <w:rPr>
                <w:noProof/>
                <w:webHidden/>
              </w:rPr>
              <w:fldChar w:fldCharType="begin"/>
            </w:r>
            <w:r w:rsidR="00AC1479">
              <w:rPr>
                <w:noProof/>
                <w:webHidden/>
              </w:rPr>
              <w:instrText xml:space="preserve"> PAGEREF _Toc421263269 \h </w:instrText>
            </w:r>
            <w:r w:rsidR="00AC1479">
              <w:rPr>
                <w:noProof/>
                <w:webHidden/>
              </w:rPr>
            </w:r>
            <w:r w:rsidR="00AC1479">
              <w:rPr>
                <w:noProof/>
                <w:webHidden/>
              </w:rPr>
              <w:fldChar w:fldCharType="separate"/>
            </w:r>
            <w:r w:rsidR="00AC1479">
              <w:rPr>
                <w:noProof/>
                <w:webHidden/>
              </w:rPr>
              <w:t>2</w:t>
            </w:r>
            <w:r w:rsidR="00AC1479">
              <w:rPr>
                <w:noProof/>
                <w:webHidden/>
              </w:rPr>
              <w:fldChar w:fldCharType="end"/>
            </w:r>
          </w:hyperlink>
        </w:p>
        <w:p w:rsidR="00AC1479" w:rsidRDefault="006866B7">
          <w:pPr>
            <w:pStyle w:val="INNH2"/>
            <w:tabs>
              <w:tab w:val="right" w:leader="dot" w:pos="9060"/>
            </w:tabs>
            <w:rPr>
              <w:rFonts w:eastAsiaTheme="minorEastAsia"/>
              <w:noProof/>
              <w:lang w:eastAsia="nb-NO"/>
            </w:rPr>
          </w:pPr>
          <w:hyperlink w:anchor="_Toc421263270" w:history="1">
            <w:r w:rsidR="00AC1479" w:rsidRPr="002868F3">
              <w:rPr>
                <w:rStyle w:val="Hyperkobling"/>
                <w:noProof/>
                <w:color w:val="023160" w:themeColor="hyperlink" w:themeShade="80"/>
              </w:rPr>
              <w:t>Ernæringstransisjon</w:t>
            </w:r>
            <w:r w:rsidR="00AC1479">
              <w:rPr>
                <w:noProof/>
                <w:webHidden/>
              </w:rPr>
              <w:tab/>
            </w:r>
            <w:r w:rsidR="00AC1479">
              <w:rPr>
                <w:noProof/>
                <w:webHidden/>
              </w:rPr>
              <w:fldChar w:fldCharType="begin"/>
            </w:r>
            <w:r w:rsidR="00AC1479">
              <w:rPr>
                <w:noProof/>
                <w:webHidden/>
              </w:rPr>
              <w:instrText xml:space="preserve"> PAGEREF _Toc421263270 \h </w:instrText>
            </w:r>
            <w:r w:rsidR="00AC1479">
              <w:rPr>
                <w:noProof/>
                <w:webHidden/>
              </w:rPr>
            </w:r>
            <w:r w:rsidR="00AC1479">
              <w:rPr>
                <w:noProof/>
                <w:webHidden/>
              </w:rPr>
              <w:fldChar w:fldCharType="separate"/>
            </w:r>
            <w:r w:rsidR="00AC1479">
              <w:rPr>
                <w:noProof/>
                <w:webHidden/>
              </w:rPr>
              <w:t>2</w:t>
            </w:r>
            <w:r w:rsidR="00AC1479">
              <w:rPr>
                <w:noProof/>
                <w:webHidden/>
              </w:rPr>
              <w:fldChar w:fldCharType="end"/>
            </w:r>
          </w:hyperlink>
        </w:p>
        <w:p w:rsidR="00AC1479" w:rsidRDefault="006866B7">
          <w:pPr>
            <w:pStyle w:val="INNH2"/>
            <w:tabs>
              <w:tab w:val="right" w:leader="dot" w:pos="9060"/>
            </w:tabs>
            <w:rPr>
              <w:rFonts w:eastAsiaTheme="minorEastAsia"/>
              <w:noProof/>
              <w:lang w:eastAsia="nb-NO"/>
            </w:rPr>
          </w:pPr>
          <w:hyperlink w:anchor="_Toc421263271" w:history="1">
            <w:r w:rsidR="00AC1479" w:rsidRPr="002868F3">
              <w:rPr>
                <w:rStyle w:val="Hyperkobling"/>
                <w:noProof/>
                <w:color w:val="023160" w:themeColor="hyperlink" w:themeShade="80"/>
              </w:rPr>
              <w:t>Lever vi i en fedme-stimulerende miljø?</w:t>
            </w:r>
            <w:r w:rsidR="00AC1479">
              <w:rPr>
                <w:noProof/>
                <w:webHidden/>
              </w:rPr>
              <w:tab/>
            </w:r>
            <w:r w:rsidR="00AC1479">
              <w:rPr>
                <w:noProof/>
                <w:webHidden/>
              </w:rPr>
              <w:fldChar w:fldCharType="begin"/>
            </w:r>
            <w:r w:rsidR="00AC1479">
              <w:rPr>
                <w:noProof/>
                <w:webHidden/>
              </w:rPr>
              <w:instrText xml:space="preserve"> PAGEREF _Toc421263271 \h </w:instrText>
            </w:r>
            <w:r w:rsidR="00AC1479">
              <w:rPr>
                <w:noProof/>
                <w:webHidden/>
              </w:rPr>
            </w:r>
            <w:r w:rsidR="00AC1479">
              <w:rPr>
                <w:noProof/>
                <w:webHidden/>
              </w:rPr>
              <w:fldChar w:fldCharType="separate"/>
            </w:r>
            <w:r w:rsidR="00AC1479">
              <w:rPr>
                <w:noProof/>
                <w:webHidden/>
              </w:rPr>
              <w:t>3</w:t>
            </w:r>
            <w:r w:rsidR="00AC1479">
              <w:rPr>
                <w:noProof/>
                <w:webHidden/>
              </w:rPr>
              <w:fldChar w:fldCharType="end"/>
            </w:r>
          </w:hyperlink>
        </w:p>
        <w:p w:rsidR="00AC1479" w:rsidRDefault="006866B7">
          <w:pPr>
            <w:pStyle w:val="INNH2"/>
            <w:tabs>
              <w:tab w:val="right" w:leader="dot" w:pos="9060"/>
            </w:tabs>
            <w:rPr>
              <w:rFonts w:eastAsiaTheme="minorEastAsia"/>
              <w:noProof/>
              <w:lang w:eastAsia="nb-NO"/>
            </w:rPr>
          </w:pPr>
          <w:hyperlink w:anchor="_Toc421263272" w:history="1">
            <w:r w:rsidR="00AC1479" w:rsidRPr="002868F3">
              <w:rPr>
                <w:rStyle w:val="Hyperkobling"/>
                <w:noProof/>
                <w:color w:val="023160" w:themeColor="hyperlink" w:themeShade="80"/>
              </w:rPr>
              <w:t>Sosiale ulikheter og folkehelse</w:t>
            </w:r>
            <w:r w:rsidR="00AC1479">
              <w:rPr>
                <w:noProof/>
                <w:webHidden/>
              </w:rPr>
              <w:tab/>
            </w:r>
            <w:r w:rsidR="00AC1479">
              <w:rPr>
                <w:noProof/>
                <w:webHidden/>
              </w:rPr>
              <w:fldChar w:fldCharType="begin"/>
            </w:r>
            <w:r w:rsidR="00AC1479">
              <w:rPr>
                <w:noProof/>
                <w:webHidden/>
              </w:rPr>
              <w:instrText xml:space="preserve"> PAGEREF _Toc421263272 \h </w:instrText>
            </w:r>
            <w:r w:rsidR="00AC1479">
              <w:rPr>
                <w:noProof/>
                <w:webHidden/>
              </w:rPr>
            </w:r>
            <w:r w:rsidR="00AC1479">
              <w:rPr>
                <w:noProof/>
                <w:webHidden/>
              </w:rPr>
              <w:fldChar w:fldCharType="separate"/>
            </w:r>
            <w:r w:rsidR="00AC1479">
              <w:rPr>
                <w:noProof/>
                <w:webHidden/>
              </w:rPr>
              <w:t>4</w:t>
            </w:r>
            <w:r w:rsidR="00AC1479">
              <w:rPr>
                <w:noProof/>
                <w:webHidden/>
              </w:rPr>
              <w:fldChar w:fldCharType="end"/>
            </w:r>
          </w:hyperlink>
        </w:p>
        <w:p w:rsidR="00AC1479" w:rsidRDefault="006866B7">
          <w:pPr>
            <w:pStyle w:val="INNH2"/>
            <w:tabs>
              <w:tab w:val="right" w:leader="dot" w:pos="9060"/>
            </w:tabs>
            <w:rPr>
              <w:rFonts w:eastAsiaTheme="minorEastAsia"/>
              <w:noProof/>
              <w:lang w:eastAsia="nb-NO"/>
            </w:rPr>
          </w:pPr>
          <w:hyperlink w:anchor="_Toc421263273" w:history="1">
            <w:r w:rsidR="00AC1479" w:rsidRPr="002868F3">
              <w:rPr>
                <w:rStyle w:val="Hyperkobling"/>
                <w:noProof/>
                <w:color w:val="023160" w:themeColor="hyperlink" w:themeShade="80"/>
              </w:rPr>
              <w:t>Primær forebygging av risikofaktorer – nasjonalt og internasjonalt</w:t>
            </w:r>
            <w:r w:rsidR="00AC1479">
              <w:rPr>
                <w:noProof/>
                <w:webHidden/>
              </w:rPr>
              <w:tab/>
            </w:r>
            <w:r w:rsidR="00AC1479">
              <w:rPr>
                <w:noProof/>
                <w:webHidden/>
              </w:rPr>
              <w:fldChar w:fldCharType="begin"/>
            </w:r>
            <w:r w:rsidR="00AC1479">
              <w:rPr>
                <w:noProof/>
                <w:webHidden/>
              </w:rPr>
              <w:instrText xml:space="preserve"> PAGEREF _Toc421263273 \h </w:instrText>
            </w:r>
            <w:r w:rsidR="00AC1479">
              <w:rPr>
                <w:noProof/>
                <w:webHidden/>
              </w:rPr>
            </w:r>
            <w:r w:rsidR="00AC1479">
              <w:rPr>
                <w:noProof/>
                <w:webHidden/>
              </w:rPr>
              <w:fldChar w:fldCharType="separate"/>
            </w:r>
            <w:r w:rsidR="00AC1479">
              <w:rPr>
                <w:noProof/>
                <w:webHidden/>
              </w:rPr>
              <w:t>5</w:t>
            </w:r>
            <w:r w:rsidR="00AC1479">
              <w:rPr>
                <w:noProof/>
                <w:webHidden/>
              </w:rPr>
              <w:fldChar w:fldCharType="end"/>
            </w:r>
          </w:hyperlink>
        </w:p>
        <w:p w:rsidR="00AC1479" w:rsidRDefault="006866B7">
          <w:pPr>
            <w:pStyle w:val="INNH2"/>
            <w:tabs>
              <w:tab w:val="right" w:leader="dot" w:pos="9060"/>
            </w:tabs>
            <w:rPr>
              <w:rFonts w:eastAsiaTheme="minorEastAsia"/>
              <w:noProof/>
              <w:lang w:eastAsia="nb-NO"/>
            </w:rPr>
          </w:pPr>
          <w:hyperlink w:anchor="_Toc421263274" w:history="1">
            <w:r w:rsidR="00AC1479" w:rsidRPr="002868F3">
              <w:rPr>
                <w:rStyle w:val="Hyperkobling"/>
                <w:noProof/>
                <w:color w:val="023160" w:themeColor="hyperlink" w:themeShade="80"/>
              </w:rPr>
              <w:t>Gratis frukt &amp; grønt på skolen – valg av studie</w:t>
            </w:r>
            <w:r w:rsidR="00AC1479">
              <w:rPr>
                <w:noProof/>
                <w:webHidden/>
              </w:rPr>
              <w:tab/>
            </w:r>
            <w:r w:rsidR="00AC1479">
              <w:rPr>
                <w:noProof/>
                <w:webHidden/>
              </w:rPr>
              <w:fldChar w:fldCharType="begin"/>
            </w:r>
            <w:r w:rsidR="00AC1479">
              <w:rPr>
                <w:noProof/>
                <w:webHidden/>
              </w:rPr>
              <w:instrText xml:space="preserve"> PAGEREF _Toc421263274 \h </w:instrText>
            </w:r>
            <w:r w:rsidR="00AC1479">
              <w:rPr>
                <w:noProof/>
                <w:webHidden/>
              </w:rPr>
            </w:r>
            <w:r w:rsidR="00AC1479">
              <w:rPr>
                <w:noProof/>
                <w:webHidden/>
              </w:rPr>
              <w:fldChar w:fldCharType="separate"/>
            </w:r>
            <w:r w:rsidR="00AC1479">
              <w:rPr>
                <w:noProof/>
                <w:webHidden/>
              </w:rPr>
              <w:t>5</w:t>
            </w:r>
            <w:r w:rsidR="00AC1479">
              <w:rPr>
                <w:noProof/>
                <w:webHidden/>
              </w:rPr>
              <w:fldChar w:fldCharType="end"/>
            </w:r>
          </w:hyperlink>
        </w:p>
        <w:p w:rsidR="00AC1479" w:rsidRDefault="006866B7">
          <w:pPr>
            <w:pStyle w:val="INNH2"/>
            <w:tabs>
              <w:tab w:val="right" w:leader="dot" w:pos="9060"/>
            </w:tabs>
            <w:rPr>
              <w:rFonts w:eastAsiaTheme="minorEastAsia"/>
              <w:noProof/>
              <w:lang w:eastAsia="nb-NO"/>
            </w:rPr>
          </w:pPr>
          <w:hyperlink w:anchor="_Toc421263275" w:history="1">
            <w:r w:rsidR="00AC1479" w:rsidRPr="002868F3">
              <w:rPr>
                <w:rStyle w:val="Hyperkobling"/>
                <w:noProof/>
                <w:color w:val="023160" w:themeColor="hyperlink" w:themeShade="80"/>
              </w:rPr>
              <w:t>Kan gratis frukt &amp; grønt på skole redusere prevalens for overvekt?</w:t>
            </w:r>
            <w:r w:rsidR="00AC1479">
              <w:rPr>
                <w:noProof/>
                <w:webHidden/>
              </w:rPr>
              <w:tab/>
            </w:r>
            <w:r w:rsidR="00AC1479">
              <w:rPr>
                <w:noProof/>
                <w:webHidden/>
              </w:rPr>
              <w:fldChar w:fldCharType="begin"/>
            </w:r>
            <w:r w:rsidR="00AC1479">
              <w:rPr>
                <w:noProof/>
                <w:webHidden/>
              </w:rPr>
              <w:instrText xml:space="preserve"> PAGEREF _Toc421263275 \h </w:instrText>
            </w:r>
            <w:r w:rsidR="00AC1479">
              <w:rPr>
                <w:noProof/>
                <w:webHidden/>
              </w:rPr>
            </w:r>
            <w:r w:rsidR="00AC1479">
              <w:rPr>
                <w:noProof/>
                <w:webHidden/>
              </w:rPr>
              <w:fldChar w:fldCharType="separate"/>
            </w:r>
            <w:r w:rsidR="00AC1479">
              <w:rPr>
                <w:noProof/>
                <w:webHidden/>
              </w:rPr>
              <w:t>6</w:t>
            </w:r>
            <w:r w:rsidR="00AC1479">
              <w:rPr>
                <w:noProof/>
                <w:webHidden/>
              </w:rPr>
              <w:fldChar w:fldCharType="end"/>
            </w:r>
          </w:hyperlink>
        </w:p>
        <w:p w:rsidR="00AC1479" w:rsidRDefault="006866B7">
          <w:pPr>
            <w:pStyle w:val="INNH2"/>
            <w:tabs>
              <w:tab w:val="right" w:leader="dot" w:pos="9060"/>
            </w:tabs>
            <w:rPr>
              <w:rFonts w:eastAsiaTheme="minorEastAsia"/>
              <w:noProof/>
              <w:lang w:eastAsia="nb-NO"/>
            </w:rPr>
          </w:pPr>
          <w:hyperlink w:anchor="_Toc421263276" w:history="1">
            <w:r w:rsidR="00AC1479" w:rsidRPr="002868F3">
              <w:rPr>
                <w:rStyle w:val="Hyperkobling"/>
                <w:noProof/>
                <w:color w:val="023160" w:themeColor="hyperlink" w:themeShade="80"/>
              </w:rPr>
              <w:t>Sluttord og egne tanker</w:t>
            </w:r>
            <w:r w:rsidR="00AC1479">
              <w:rPr>
                <w:noProof/>
                <w:webHidden/>
              </w:rPr>
              <w:tab/>
            </w:r>
            <w:r w:rsidR="00AC1479">
              <w:rPr>
                <w:noProof/>
                <w:webHidden/>
              </w:rPr>
              <w:fldChar w:fldCharType="begin"/>
            </w:r>
            <w:r w:rsidR="00AC1479">
              <w:rPr>
                <w:noProof/>
                <w:webHidden/>
              </w:rPr>
              <w:instrText xml:space="preserve"> PAGEREF _Toc421263276 \h </w:instrText>
            </w:r>
            <w:r w:rsidR="00AC1479">
              <w:rPr>
                <w:noProof/>
                <w:webHidden/>
              </w:rPr>
            </w:r>
            <w:r w:rsidR="00AC1479">
              <w:rPr>
                <w:noProof/>
                <w:webHidden/>
              </w:rPr>
              <w:fldChar w:fldCharType="separate"/>
            </w:r>
            <w:r w:rsidR="00AC1479">
              <w:rPr>
                <w:noProof/>
                <w:webHidden/>
              </w:rPr>
              <w:t>7</w:t>
            </w:r>
            <w:r w:rsidR="00AC1479">
              <w:rPr>
                <w:noProof/>
                <w:webHidden/>
              </w:rPr>
              <w:fldChar w:fldCharType="end"/>
            </w:r>
          </w:hyperlink>
        </w:p>
        <w:p w:rsidR="00AC1479" w:rsidRDefault="006866B7">
          <w:pPr>
            <w:pStyle w:val="INNH2"/>
            <w:tabs>
              <w:tab w:val="right" w:leader="dot" w:pos="9060"/>
            </w:tabs>
            <w:rPr>
              <w:rFonts w:eastAsiaTheme="minorEastAsia"/>
              <w:noProof/>
              <w:lang w:eastAsia="nb-NO"/>
            </w:rPr>
          </w:pPr>
          <w:hyperlink w:anchor="_Toc421263277" w:history="1">
            <w:r w:rsidR="00AC1479" w:rsidRPr="002868F3">
              <w:rPr>
                <w:rStyle w:val="Hyperkobling"/>
                <w:noProof/>
                <w:color w:val="023160" w:themeColor="hyperlink" w:themeShade="80"/>
              </w:rPr>
              <w:t>Konklusjon</w:t>
            </w:r>
            <w:r w:rsidR="00AC1479">
              <w:rPr>
                <w:noProof/>
                <w:webHidden/>
              </w:rPr>
              <w:tab/>
            </w:r>
            <w:r w:rsidR="00AC1479">
              <w:rPr>
                <w:noProof/>
                <w:webHidden/>
              </w:rPr>
              <w:fldChar w:fldCharType="begin"/>
            </w:r>
            <w:r w:rsidR="00AC1479">
              <w:rPr>
                <w:noProof/>
                <w:webHidden/>
              </w:rPr>
              <w:instrText xml:space="preserve"> PAGEREF _Toc421263277 \h </w:instrText>
            </w:r>
            <w:r w:rsidR="00AC1479">
              <w:rPr>
                <w:noProof/>
                <w:webHidden/>
              </w:rPr>
            </w:r>
            <w:r w:rsidR="00AC1479">
              <w:rPr>
                <w:noProof/>
                <w:webHidden/>
              </w:rPr>
              <w:fldChar w:fldCharType="separate"/>
            </w:r>
            <w:r w:rsidR="00AC1479">
              <w:rPr>
                <w:noProof/>
                <w:webHidden/>
              </w:rPr>
              <w:t>7</w:t>
            </w:r>
            <w:r w:rsidR="00AC1479">
              <w:rPr>
                <w:noProof/>
                <w:webHidden/>
              </w:rPr>
              <w:fldChar w:fldCharType="end"/>
            </w:r>
          </w:hyperlink>
        </w:p>
        <w:p w:rsidR="00AC1479" w:rsidRDefault="006866B7">
          <w:pPr>
            <w:pStyle w:val="INNH2"/>
            <w:tabs>
              <w:tab w:val="right" w:leader="dot" w:pos="9060"/>
            </w:tabs>
            <w:rPr>
              <w:rFonts w:eastAsiaTheme="minorEastAsia"/>
              <w:noProof/>
              <w:lang w:eastAsia="nb-NO"/>
            </w:rPr>
          </w:pPr>
          <w:hyperlink w:anchor="_Toc421263278" w:history="1">
            <w:r w:rsidR="00AC1479" w:rsidRPr="002868F3">
              <w:rPr>
                <w:rStyle w:val="Hyperkobling"/>
                <w:noProof/>
                <w:color w:val="023160" w:themeColor="hyperlink" w:themeShade="80"/>
              </w:rPr>
              <w:t>Referanser</w:t>
            </w:r>
            <w:r w:rsidR="00AC1479">
              <w:rPr>
                <w:noProof/>
                <w:webHidden/>
              </w:rPr>
              <w:tab/>
            </w:r>
            <w:r w:rsidR="00AC1479">
              <w:rPr>
                <w:noProof/>
                <w:webHidden/>
              </w:rPr>
              <w:fldChar w:fldCharType="begin"/>
            </w:r>
            <w:r w:rsidR="00AC1479">
              <w:rPr>
                <w:noProof/>
                <w:webHidden/>
              </w:rPr>
              <w:instrText xml:space="preserve"> PAGEREF _Toc421263278 \h </w:instrText>
            </w:r>
            <w:r w:rsidR="00AC1479">
              <w:rPr>
                <w:noProof/>
                <w:webHidden/>
              </w:rPr>
            </w:r>
            <w:r w:rsidR="00AC1479">
              <w:rPr>
                <w:noProof/>
                <w:webHidden/>
              </w:rPr>
              <w:fldChar w:fldCharType="separate"/>
            </w:r>
            <w:r w:rsidR="00AC1479">
              <w:rPr>
                <w:noProof/>
                <w:webHidden/>
              </w:rPr>
              <w:t>8</w:t>
            </w:r>
            <w:r w:rsidR="00AC1479">
              <w:rPr>
                <w:noProof/>
                <w:webHidden/>
              </w:rPr>
              <w:fldChar w:fldCharType="end"/>
            </w:r>
          </w:hyperlink>
        </w:p>
        <w:p w:rsidR="002536EA" w:rsidRDefault="002536EA">
          <w:r>
            <w:rPr>
              <w:b/>
              <w:bCs/>
            </w:rPr>
            <w:fldChar w:fldCharType="end"/>
          </w:r>
        </w:p>
      </w:sdtContent>
    </w:sdt>
    <w:p w:rsidR="002536EA" w:rsidRDefault="002536EA">
      <w:pPr>
        <w:rPr>
          <w:rFonts w:asciiTheme="majorHAnsi" w:eastAsiaTheme="majorEastAsia" w:hAnsiTheme="majorHAnsi" w:cstheme="majorBidi"/>
          <w:color w:val="1F4E79" w:themeColor="accent1" w:themeShade="80"/>
          <w:sz w:val="32"/>
          <w:szCs w:val="32"/>
        </w:rPr>
      </w:pPr>
      <w:r>
        <w:rPr>
          <w:color w:val="1F4E79" w:themeColor="accent1" w:themeShade="80"/>
        </w:rPr>
        <w:br w:type="page"/>
      </w:r>
    </w:p>
    <w:p w:rsidR="00B24B10" w:rsidRPr="001875CD" w:rsidRDefault="00B24B10" w:rsidP="00B24B10">
      <w:pPr>
        <w:pStyle w:val="Overskrift1"/>
        <w:rPr>
          <w:color w:val="1F4E79" w:themeColor="accent1" w:themeShade="80"/>
        </w:rPr>
      </w:pPr>
      <w:bookmarkStart w:id="0" w:name="_Toc421263268"/>
      <w:r w:rsidRPr="001875CD">
        <w:rPr>
          <w:color w:val="1F4E79" w:themeColor="accent1" w:themeShade="80"/>
        </w:rPr>
        <w:lastRenderedPageBreak/>
        <w:t>Overvekt – bakgrunn for valg av denne tematikken</w:t>
      </w:r>
      <w:bookmarkEnd w:id="0"/>
    </w:p>
    <w:p w:rsidR="00813DD2" w:rsidRPr="001875CD" w:rsidRDefault="00813DD2" w:rsidP="00813DD2">
      <w:pPr>
        <w:pStyle w:val="Overskrift2"/>
        <w:rPr>
          <w:color w:val="1F4E79" w:themeColor="accent1" w:themeShade="80"/>
        </w:rPr>
      </w:pPr>
      <w:bookmarkStart w:id="1" w:name="_Toc421263269"/>
      <w:r w:rsidRPr="001875CD">
        <w:rPr>
          <w:color w:val="1F4E79" w:themeColor="accent1" w:themeShade="80"/>
        </w:rPr>
        <w:t>Hva er overvekt og fedme?</w:t>
      </w:r>
      <w:bookmarkEnd w:id="1"/>
    </w:p>
    <w:p w:rsidR="000C5FE1" w:rsidRDefault="00813DD2" w:rsidP="00813DD2">
      <w:pPr>
        <w:rPr>
          <w:sz w:val="24"/>
          <w:szCs w:val="24"/>
        </w:rPr>
      </w:pPr>
      <w:r>
        <w:rPr>
          <w:sz w:val="24"/>
          <w:szCs w:val="24"/>
        </w:rPr>
        <w:t xml:space="preserve">Verdens helseorginasjon (WHO) definerer </w:t>
      </w:r>
      <w:r w:rsidR="00654A46">
        <w:rPr>
          <w:sz w:val="24"/>
          <w:szCs w:val="24"/>
        </w:rPr>
        <w:t>fedme som en sykdom og bruker</w:t>
      </w:r>
      <w:r>
        <w:rPr>
          <w:sz w:val="24"/>
          <w:szCs w:val="24"/>
        </w:rPr>
        <w:t xml:space="preserve"> vektklassifiseringer </w:t>
      </w:r>
      <w:r w:rsidR="00654A46">
        <w:rPr>
          <w:sz w:val="24"/>
          <w:szCs w:val="24"/>
        </w:rPr>
        <w:t xml:space="preserve">for </w:t>
      </w:r>
      <w:r>
        <w:rPr>
          <w:sz w:val="24"/>
          <w:szCs w:val="24"/>
        </w:rPr>
        <w:t>henholdsvis under-, normal-, overvekt og fedme.</w:t>
      </w:r>
      <w:r w:rsidR="00F04180">
        <w:rPr>
          <w:sz w:val="24"/>
          <w:szCs w:val="24"/>
        </w:rPr>
        <w:t xml:space="preserve"> WHO bruker BMI og</w:t>
      </w:r>
      <w:r w:rsidR="00654A46">
        <w:rPr>
          <w:sz w:val="24"/>
          <w:szCs w:val="24"/>
        </w:rPr>
        <w:t xml:space="preserve"> </w:t>
      </w:r>
      <w:r>
        <w:rPr>
          <w:sz w:val="24"/>
          <w:szCs w:val="24"/>
        </w:rPr>
        <w:t>større enn 25 tilsvarer overvek</w:t>
      </w:r>
      <w:r w:rsidR="00F04180">
        <w:rPr>
          <w:sz w:val="24"/>
          <w:szCs w:val="24"/>
        </w:rPr>
        <w:t>t,</w:t>
      </w:r>
      <w:r w:rsidR="00654A46">
        <w:rPr>
          <w:sz w:val="24"/>
          <w:szCs w:val="24"/>
        </w:rPr>
        <w:t xml:space="preserve"> 30 eller mer er fedme. </w:t>
      </w:r>
      <w:r w:rsidR="00F04180">
        <w:rPr>
          <w:sz w:val="24"/>
          <w:szCs w:val="24"/>
        </w:rPr>
        <w:t>BMI</w:t>
      </w:r>
      <w:r w:rsidR="00654A46">
        <w:rPr>
          <w:sz w:val="24"/>
          <w:szCs w:val="24"/>
        </w:rPr>
        <w:t xml:space="preserve"> er den mest brukte, men er et </w:t>
      </w:r>
      <w:r>
        <w:rPr>
          <w:sz w:val="24"/>
          <w:szCs w:val="24"/>
        </w:rPr>
        <w:t xml:space="preserve">«røft estimat» og kan variere hos individuelle individer </w:t>
      </w:r>
      <w:r>
        <w:rPr>
          <w:sz w:val="24"/>
          <w:szCs w:val="24"/>
        </w:rPr>
        <w:fldChar w:fldCharType="begin"/>
      </w:r>
      <w:r w:rsidR="00AE7E71">
        <w:rPr>
          <w:sz w:val="24"/>
          <w:szCs w:val="24"/>
        </w:rPr>
        <w:instrText xml:space="preserve"> ADDIN EN.CITE &lt;EndNote&gt;&lt;Cite&gt;&lt;Author&gt;WHO&lt;/Author&gt;&lt;RecNum&gt;8&lt;/RecNum&gt;&lt;DisplayText&gt;(WHO, 2015)&lt;/DisplayText&gt;&lt;record&gt;&lt;rec-number&gt;8&lt;/rec-number&gt;&lt;foreign-keys&gt;&lt;key app="EN" db-id="advxwpzvq5dxwcerrv159tr9tpaetd992faf" timestamp="1433332449"&gt;8&lt;/key&gt;&lt;/foreign-keys&gt;&lt;ref-type name="Web Page"&gt;12&lt;/ref-type&gt;&lt;contributors&gt;&lt;authors&gt;&lt;author&gt;WHO&lt;/author&gt;&lt;/authors&gt;&lt;/contributors&gt;&lt;titles&gt;&lt;title&gt;WHO&amp;apos;obesity and overweight&lt;/title&gt;&lt;/titles&gt;&lt;number&gt;03.06.2015&lt;/number&gt;&lt;dates&gt;&lt;year&gt;2015&lt;/year&gt;&lt;pub-dates&gt;&lt;date&gt;Januar 2015&lt;/date&gt;&lt;/pub-dates&gt;&lt;/dates&gt;&lt;urls&gt;&lt;related-urls&gt;&lt;url&gt;http://www.who.int/mediacentre/factsheets/fs311/en/&lt;/url&gt;&lt;/related-urls&gt;&lt;/urls&gt;&lt;/record&gt;&lt;/Cite&gt;&lt;/EndNote&gt;</w:instrText>
      </w:r>
      <w:r>
        <w:rPr>
          <w:sz w:val="24"/>
          <w:szCs w:val="24"/>
        </w:rPr>
        <w:fldChar w:fldCharType="separate"/>
      </w:r>
      <w:r w:rsidR="002F1411">
        <w:rPr>
          <w:noProof/>
          <w:sz w:val="24"/>
          <w:szCs w:val="24"/>
        </w:rPr>
        <w:t>(WHO, 2015)</w:t>
      </w:r>
      <w:r>
        <w:rPr>
          <w:sz w:val="24"/>
          <w:szCs w:val="24"/>
        </w:rPr>
        <w:fldChar w:fldCharType="end"/>
      </w:r>
      <w:r>
        <w:rPr>
          <w:sz w:val="24"/>
          <w:szCs w:val="24"/>
        </w:rPr>
        <w:t xml:space="preserve">. </w:t>
      </w:r>
      <w:r w:rsidR="00654A46">
        <w:rPr>
          <w:sz w:val="24"/>
          <w:szCs w:val="24"/>
        </w:rPr>
        <w:t xml:space="preserve">For dagens situasjon har WHO </w:t>
      </w:r>
      <w:r>
        <w:rPr>
          <w:sz w:val="24"/>
          <w:szCs w:val="24"/>
        </w:rPr>
        <w:t>en dynamisk oppdatering og ble sist oppdatert januar 2015:</w:t>
      </w:r>
    </w:p>
    <w:p w:rsidR="00813DD2" w:rsidRDefault="00813DD2" w:rsidP="00813DD2">
      <w:pPr>
        <w:rPr>
          <w:sz w:val="24"/>
          <w:szCs w:val="24"/>
        </w:rPr>
      </w:pPr>
      <w:r>
        <w:rPr>
          <w:sz w:val="24"/>
          <w:szCs w:val="24"/>
        </w:rPr>
        <w:br/>
        <w:t>«I 2014 var mer enn 1,9 milliard, 18 år eller eldre overvektige. Av disse var mer enn 600 millioner sykelige overvektige (fedme). Prevalensen h</w:t>
      </w:r>
      <w:r w:rsidR="0012780A">
        <w:rPr>
          <w:sz w:val="24"/>
          <w:szCs w:val="24"/>
        </w:rPr>
        <w:t xml:space="preserve">ar doblet mellom 1980 og 2014. I 2013 var </w:t>
      </w:r>
      <w:r w:rsidR="00D25FB0">
        <w:rPr>
          <w:sz w:val="24"/>
          <w:szCs w:val="24"/>
        </w:rPr>
        <w:t xml:space="preserve">42 millioner barn under 5 år </w:t>
      </w:r>
      <w:r>
        <w:rPr>
          <w:sz w:val="24"/>
          <w:szCs w:val="24"/>
        </w:rPr>
        <w:t>enten over</w:t>
      </w:r>
      <w:r w:rsidR="00F04180">
        <w:rPr>
          <w:sz w:val="24"/>
          <w:szCs w:val="24"/>
        </w:rPr>
        <w:t>vektige eller hadde fedme. På verdensbasis</w:t>
      </w:r>
      <w:r>
        <w:rPr>
          <w:sz w:val="24"/>
          <w:szCs w:val="24"/>
        </w:rPr>
        <w:t xml:space="preserve"> </w:t>
      </w:r>
      <w:r w:rsidR="00F04180">
        <w:rPr>
          <w:sz w:val="24"/>
          <w:szCs w:val="24"/>
        </w:rPr>
        <w:t>har dette blitt assosiert</w:t>
      </w:r>
      <w:r>
        <w:rPr>
          <w:sz w:val="24"/>
          <w:szCs w:val="24"/>
        </w:rPr>
        <w:t xml:space="preserve"> </w:t>
      </w:r>
      <w:r w:rsidR="00F04180">
        <w:rPr>
          <w:sz w:val="24"/>
          <w:szCs w:val="24"/>
        </w:rPr>
        <w:t>med mer dødsfall</w:t>
      </w:r>
      <w:r>
        <w:rPr>
          <w:sz w:val="24"/>
          <w:szCs w:val="24"/>
        </w:rPr>
        <w:t xml:space="preserve"> enn undervekt» </w:t>
      </w:r>
      <w:r>
        <w:rPr>
          <w:sz w:val="24"/>
          <w:szCs w:val="24"/>
        </w:rPr>
        <w:fldChar w:fldCharType="begin"/>
      </w:r>
      <w:r w:rsidR="00AE7E71">
        <w:rPr>
          <w:sz w:val="24"/>
          <w:szCs w:val="24"/>
        </w:rPr>
        <w:instrText xml:space="preserve"> ADDIN EN.CITE &lt;EndNote&gt;&lt;Cite&gt;&lt;Author&gt;WHO&lt;/Author&gt;&lt;RecNum&gt;8&lt;/RecNum&gt;&lt;DisplayText&gt;(WHO, 2015)&lt;/DisplayText&gt;&lt;record&gt;&lt;rec-number&gt;8&lt;/rec-number&gt;&lt;foreign-keys&gt;&lt;key app="EN" db-id="advxwpzvq5dxwcerrv159tr9tpaetd992faf" timestamp="1433332449"&gt;8&lt;/key&gt;&lt;/foreign-keys&gt;&lt;ref-type name="Web Page"&gt;12&lt;/ref-type&gt;&lt;contributors&gt;&lt;authors&gt;&lt;author&gt;WHO&lt;/author&gt;&lt;/authors&gt;&lt;/contributors&gt;&lt;titles&gt;&lt;title&gt;WHO&amp;apos;obesity and overweight&lt;/title&gt;&lt;/titles&gt;&lt;number&gt;03.06.2015&lt;/number&gt;&lt;dates&gt;&lt;year&gt;2015&lt;/year&gt;&lt;pub-dates&gt;&lt;date&gt;Januar 2015&lt;/date&gt;&lt;/pub-dates&gt;&lt;/dates&gt;&lt;urls&gt;&lt;related-urls&gt;&lt;url&gt;http://www.who.int/mediacentre/factsheets/fs311/en/&lt;/url&gt;&lt;/related-urls&gt;&lt;/urls&gt;&lt;/record&gt;&lt;/Cite&gt;&lt;/EndNote&gt;</w:instrText>
      </w:r>
      <w:r>
        <w:rPr>
          <w:sz w:val="24"/>
          <w:szCs w:val="24"/>
        </w:rPr>
        <w:fldChar w:fldCharType="separate"/>
      </w:r>
      <w:r w:rsidR="002F1411">
        <w:rPr>
          <w:noProof/>
          <w:sz w:val="24"/>
          <w:szCs w:val="24"/>
        </w:rPr>
        <w:t>(WHO, 2015)</w:t>
      </w:r>
      <w:r>
        <w:rPr>
          <w:sz w:val="24"/>
          <w:szCs w:val="24"/>
        </w:rPr>
        <w:fldChar w:fldCharType="end"/>
      </w:r>
      <w:r>
        <w:rPr>
          <w:sz w:val="24"/>
          <w:szCs w:val="24"/>
        </w:rPr>
        <w:t xml:space="preserve">. </w:t>
      </w:r>
    </w:p>
    <w:p w:rsidR="00F04180" w:rsidRDefault="00F04180" w:rsidP="00813DD2">
      <w:pPr>
        <w:rPr>
          <w:sz w:val="24"/>
          <w:szCs w:val="24"/>
        </w:rPr>
      </w:pPr>
      <w:r>
        <w:rPr>
          <w:sz w:val="24"/>
          <w:szCs w:val="24"/>
        </w:rPr>
        <w:t xml:space="preserve">Overvekt skjer når energiinntaket over tid blir større enn forbruket. Energibalanse innebærer at inntaket er lik forbruket </w:t>
      </w:r>
      <w:r>
        <w:rPr>
          <w:sz w:val="24"/>
          <w:szCs w:val="24"/>
        </w:rPr>
        <w:fldChar w:fldCharType="begin"/>
      </w:r>
      <w:r>
        <w:rPr>
          <w:sz w:val="24"/>
          <w:szCs w:val="24"/>
        </w:rPr>
        <w:instrText xml:space="preserve"> ADDIN EN.CITE &lt;EndNote&gt;&lt;Cite&gt;&lt;Year&gt;1989&lt;/Year&gt;&lt;RecNum&gt;19&lt;/RecNum&gt;&lt;DisplayText&gt;(&lt;style face="italic"&gt;Recommended Dietary Allowances: 10th Edition&lt;/style&gt;, 1989)&lt;/DisplayText&gt;&lt;record&gt;&lt;rec-number&gt;19&lt;/rec-number&gt;&lt;foreign-keys&gt;&lt;key app="EN" db-id="advxwpzvq5dxwcerrv159tr9tpaetd992faf" timestamp="1433403071"&gt;19&lt;/key&gt;&lt;/foreign-keys&gt;&lt;ref-type name="Book"&gt;6&lt;/ref-type&gt;&lt;contributors&gt;&lt;/contributors&gt;&lt;titles&gt;&lt;title&gt;Recommended Dietary Allowances: 10th Edition&lt;/title&gt;&lt;/titles&gt;&lt;dates&gt;&lt;year&gt;1989&lt;/year&gt;&lt;/dates&gt;&lt;pub-location&gt;Washington DC&lt;/pub-location&gt;&lt;publisher&gt;1989 by the National Academy of Sciences.&lt;/publisher&gt;&lt;accession-num&gt;25144070&lt;/accession-num&gt;&lt;urls&gt;&lt;/urls&gt;&lt;language&gt;eng&lt;/language&gt;&lt;/record&gt;&lt;/Cite&gt;&lt;/EndNote&gt;</w:instrText>
      </w:r>
      <w:r>
        <w:rPr>
          <w:sz w:val="24"/>
          <w:szCs w:val="24"/>
        </w:rPr>
        <w:fldChar w:fldCharType="separate"/>
      </w:r>
      <w:r>
        <w:rPr>
          <w:noProof/>
          <w:sz w:val="24"/>
          <w:szCs w:val="24"/>
        </w:rPr>
        <w:t>(</w:t>
      </w:r>
      <w:r w:rsidRPr="00F04180">
        <w:rPr>
          <w:i/>
          <w:noProof/>
          <w:sz w:val="24"/>
          <w:szCs w:val="24"/>
        </w:rPr>
        <w:t>Recommended Dietary Allowances: 10th Edition</w:t>
      </w:r>
      <w:r>
        <w:rPr>
          <w:noProof/>
          <w:sz w:val="24"/>
          <w:szCs w:val="24"/>
        </w:rPr>
        <w:t>, 1989)</w:t>
      </w:r>
      <w:r>
        <w:rPr>
          <w:sz w:val="24"/>
          <w:szCs w:val="24"/>
        </w:rPr>
        <w:fldChar w:fldCharType="end"/>
      </w:r>
      <w:r>
        <w:rPr>
          <w:sz w:val="24"/>
          <w:szCs w:val="24"/>
        </w:rPr>
        <w:t>.</w:t>
      </w:r>
    </w:p>
    <w:p w:rsidR="00050FC8" w:rsidRDefault="00813DD2" w:rsidP="00B24B10">
      <w:pPr>
        <w:rPr>
          <w:sz w:val="24"/>
          <w:szCs w:val="24"/>
        </w:rPr>
      </w:pPr>
      <w:r>
        <w:rPr>
          <w:sz w:val="24"/>
          <w:szCs w:val="24"/>
        </w:rPr>
        <w:t>Overvekt og fedme har flere uheldige konsekvenser for helsen. Sammenlignet med norma</w:t>
      </w:r>
      <w:r w:rsidR="00F04180">
        <w:rPr>
          <w:sz w:val="24"/>
          <w:szCs w:val="24"/>
        </w:rPr>
        <w:t>lvektige har disse endringer i hjertefunksjon og</w:t>
      </w:r>
      <w:r>
        <w:rPr>
          <w:sz w:val="24"/>
          <w:szCs w:val="24"/>
        </w:rPr>
        <w:t xml:space="preserve"> blodvolum</w:t>
      </w:r>
      <w:r w:rsidR="00D25FB0">
        <w:rPr>
          <w:sz w:val="24"/>
          <w:szCs w:val="24"/>
        </w:rPr>
        <w:t xml:space="preserve"> og </w:t>
      </w:r>
      <w:r>
        <w:rPr>
          <w:sz w:val="24"/>
          <w:szCs w:val="24"/>
        </w:rPr>
        <w:t xml:space="preserve">er assosiert </w:t>
      </w:r>
      <w:r w:rsidR="00D25FB0">
        <w:rPr>
          <w:sz w:val="24"/>
          <w:szCs w:val="24"/>
        </w:rPr>
        <w:t>med økt dødelighet. Overvekt øker</w:t>
      </w:r>
      <w:r>
        <w:rPr>
          <w:sz w:val="24"/>
          <w:szCs w:val="24"/>
        </w:rPr>
        <w:t xml:space="preserve"> risiko</w:t>
      </w:r>
      <w:r w:rsidR="00D25FB0">
        <w:rPr>
          <w:sz w:val="24"/>
          <w:szCs w:val="24"/>
        </w:rPr>
        <w:t>en</w:t>
      </w:r>
      <w:r>
        <w:rPr>
          <w:sz w:val="24"/>
          <w:szCs w:val="24"/>
        </w:rPr>
        <w:t xml:space="preserve"> for å utvikle diabetes type 2, hjertekar-sykdom, enkelte former for kreft, søvnapné, slitasjegikt og psykiske plager </w:t>
      </w:r>
      <w:r>
        <w:rPr>
          <w:sz w:val="24"/>
          <w:szCs w:val="24"/>
        </w:rPr>
        <w:fldChar w:fldCharType="begin"/>
      </w:r>
      <w:r w:rsidR="00E933E0">
        <w:rPr>
          <w:sz w:val="24"/>
          <w:szCs w:val="24"/>
        </w:rPr>
        <w:instrText xml:space="preserve"> ADDIN EN.CITE &lt;EndNote&gt;&lt;Cite&gt;&lt;Author&gt;Folkehelseinsuttittet&lt;/Author&gt;&lt;Year&gt;2014&lt;/Year&gt;&lt;RecNum&gt;10&lt;/RecNum&gt;&lt;DisplayText&gt;(Folkehelseinsuttittet, 2014)&lt;/DisplayText&gt;&lt;record&gt;&lt;rec-number&gt;10&lt;/rec-number&gt;&lt;foreign-keys&gt;&lt;key app="EN" db-id="advxwpzvq5dxwcerrv159tr9tpaetd992faf" timestamp="1433337438"&gt;10&lt;/key&gt;&lt;/foreign-keys&gt;&lt;ref-type name="Web Page"&gt;12&lt;/ref-type&gt;&lt;contributors&gt;&lt;authors&gt;&lt;author&gt;Folkehelseinsuttittet&lt;/author&gt;&lt;/authors&gt;&lt;/contributors&gt;&lt;titles&gt;&lt;title&gt;Overvekt og fedme - Folkehelserapporten 2014&lt;/title&gt;&lt;/titles&gt;&lt;number&gt;03.06.2015&lt;/number&gt;&lt;dates&gt;&lt;year&gt;2014&lt;/year&gt;&lt;pub-dates&gt;&lt;date&gt;09.04.2015&lt;/date&gt;&lt;/pub-dates&gt;&lt;/dates&gt;&lt;urls&gt;&lt;related-urls&gt;&lt;url&gt;http://www.fhi.no/artikler/?id=110553&lt;/url&gt;&lt;/related-urls&gt;&lt;/urls&gt;&lt;/record&gt;&lt;/Cite&gt;&lt;/EndNote&gt;</w:instrText>
      </w:r>
      <w:r>
        <w:rPr>
          <w:sz w:val="24"/>
          <w:szCs w:val="24"/>
        </w:rPr>
        <w:fldChar w:fldCharType="separate"/>
      </w:r>
      <w:r>
        <w:rPr>
          <w:noProof/>
          <w:sz w:val="24"/>
          <w:szCs w:val="24"/>
        </w:rPr>
        <w:t>(Folkehelseinsuttittet, 2014)</w:t>
      </w:r>
      <w:r>
        <w:rPr>
          <w:sz w:val="24"/>
          <w:szCs w:val="24"/>
        </w:rPr>
        <w:fldChar w:fldCharType="end"/>
      </w:r>
      <w:r w:rsidR="00F04180">
        <w:rPr>
          <w:sz w:val="24"/>
          <w:szCs w:val="24"/>
        </w:rPr>
        <w:t>.</w:t>
      </w:r>
      <w:r w:rsidR="00F04180">
        <w:rPr>
          <w:sz w:val="24"/>
          <w:szCs w:val="24"/>
        </w:rPr>
        <w:br/>
      </w:r>
      <w:r w:rsidR="00634F71">
        <w:rPr>
          <w:sz w:val="24"/>
          <w:szCs w:val="24"/>
        </w:rPr>
        <w:br/>
      </w:r>
      <w:r w:rsidR="00E64DE5">
        <w:rPr>
          <w:sz w:val="24"/>
          <w:szCs w:val="24"/>
        </w:rPr>
        <w:t xml:space="preserve">Dette er et globalt og </w:t>
      </w:r>
      <w:r w:rsidR="00D25FB0">
        <w:rPr>
          <w:sz w:val="24"/>
          <w:szCs w:val="24"/>
        </w:rPr>
        <w:t xml:space="preserve">et </w:t>
      </w:r>
      <w:r w:rsidR="00E64DE5">
        <w:rPr>
          <w:sz w:val="24"/>
          <w:szCs w:val="24"/>
        </w:rPr>
        <w:t>k</w:t>
      </w:r>
      <w:r w:rsidR="00634F71">
        <w:rPr>
          <w:sz w:val="24"/>
          <w:szCs w:val="24"/>
        </w:rPr>
        <w:t>ompleks problemstilling. Et viktig aspekt er at overvekt i selv øker risikoen for flere andre ikke-smittsomme sykdommer</w:t>
      </w:r>
      <w:r w:rsidR="00D25FB0">
        <w:rPr>
          <w:sz w:val="24"/>
          <w:szCs w:val="24"/>
        </w:rPr>
        <w:t xml:space="preserve"> og er hovedgrunnen til at </w:t>
      </w:r>
      <w:r w:rsidR="00634F71">
        <w:rPr>
          <w:sz w:val="24"/>
          <w:szCs w:val="24"/>
        </w:rPr>
        <w:t xml:space="preserve">tematikken ble valgt. </w:t>
      </w:r>
      <w:r w:rsidR="00E64DE5">
        <w:rPr>
          <w:sz w:val="24"/>
          <w:szCs w:val="24"/>
        </w:rPr>
        <w:t xml:space="preserve">Oppgaven vil forsøke å belyse og besvare dette med et holistisk tankesett ved å diskutere det teoretiske rammeverket og bakgrunnen for utviklingen. For å forebygge risikofaktorene vil det være hensiktsmessig å forstå </w:t>
      </w:r>
      <w:r w:rsidR="00D25FB0">
        <w:rPr>
          <w:sz w:val="24"/>
          <w:szCs w:val="24"/>
        </w:rPr>
        <w:t>bakgrunnen.</w:t>
      </w:r>
    </w:p>
    <w:p w:rsidR="00160341" w:rsidRPr="00D10EB0" w:rsidRDefault="00160341" w:rsidP="00160341">
      <w:pPr>
        <w:pStyle w:val="Overskrift2"/>
        <w:rPr>
          <w:color w:val="1F4E79" w:themeColor="accent1" w:themeShade="80"/>
        </w:rPr>
      </w:pPr>
      <w:bookmarkStart w:id="2" w:name="_Toc421263270"/>
      <w:r w:rsidRPr="00D10EB0">
        <w:rPr>
          <w:color w:val="1F4E79" w:themeColor="accent1" w:themeShade="80"/>
        </w:rPr>
        <w:t>Ernæringstransisjon</w:t>
      </w:r>
      <w:bookmarkEnd w:id="2"/>
    </w:p>
    <w:p w:rsidR="00A95C9B" w:rsidRDefault="00EF7650" w:rsidP="004C1CD0">
      <w:pPr>
        <w:rPr>
          <w:sz w:val="24"/>
          <w:szCs w:val="24"/>
        </w:rPr>
      </w:pPr>
      <w:r>
        <w:rPr>
          <w:sz w:val="24"/>
          <w:szCs w:val="24"/>
        </w:rPr>
        <w:t>Ernæring</w:t>
      </w:r>
      <w:r w:rsidRPr="00160341">
        <w:rPr>
          <w:sz w:val="24"/>
          <w:szCs w:val="24"/>
        </w:rPr>
        <w:t>transisjonen</w:t>
      </w:r>
      <w:r w:rsidR="00160341" w:rsidRPr="00160341">
        <w:rPr>
          <w:sz w:val="24"/>
          <w:szCs w:val="24"/>
        </w:rPr>
        <w:t xml:space="preserve"> kjennetegnes</w:t>
      </w:r>
      <w:r w:rsidR="00F04180">
        <w:rPr>
          <w:sz w:val="24"/>
          <w:szCs w:val="24"/>
        </w:rPr>
        <w:t xml:space="preserve"> av en urbanisering som drives fra økonomisk</w:t>
      </w:r>
      <w:r w:rsidR="00160341" w:rsidRPr="00160341">
        <w:rPr>
          <w:sz w:val="24"/>
          <w:szCs w:val="24"/>
        </w:rPr>
        <w:t xml:space="preserve"> motivasjon.  Globaliseringen i verden </w:t>
      </w:r>
      <w:r w:rsidR="001E3BEF">
        <w:rPr>
          <w:sz w:val="24"/>
          <w:szCs w:val="24"/>
        </w:rPr>
        <w:t>har ført til at</w:t>
      </w:r>
      <w:r w:rsidR="00160341" w:rsidRPr="00160341">
        <w:rPr>
          <w:sz w:val="24"/>
          <w:szCs w:val="24"/>
        </w:rPr>
        <w:t xml:space="preserve"> multinasjonale selskaper</w:t>
      </w:r>
      <w:r w:rsidR="00160341">
        <w:rPr>
          <w:sz w:val="24"/>
          <w:szCs w:val="24"/>
        </w:rPr>
        <w:t xml:space="preserve"> har fått innpass i flere land</w:t>
      </w:r>
      <w:r w:rsidR="001E3BEF">
        <w:rPr>
          <w:sz w:val="24"/>
          <w:szCs w:val="24"/>
        </w:rPr>
        <w:t xml:space="preserve">. </w:t>
      </w:r>
      <w:r w:rsidR="00F04180">
        <w:rPr>
          <w:sz w:val="24"/>
          <w:szCs w:val="24"/>
        </w:rPr>
        <w:t xml:space="preserve">I land som globaliseres </w:t>
      </w:r>
      <w:r w:rsidR="00052FDB">
        <w:rPr>
          <w:sz w:val="24"/>
          <w:szCs w:val="24"/>
        </w:rPr>
        <w:t xml:space="preserve">øker også overvekt </w:t>
      </w:r>
      <w:r w:rsidR="00052FDB">
        <w:rPr>
          <w:sz w:val="24"/>
          <w:szCs w:val="24"/>
        </w:rPr>
        <w:fldChar w:fldCharType="begin"/>
      </w:r>
      <w:r w:rsidR="00052FDB">
        <w:rPr>
          <w:sz w:val="24"/>
          <w:szCs w:val="24"/>
        </w:rPr>
        <w:instrText xml:space="preserve"> ADDIN EN.CITE &lt;EndNote&gt;&lt;Cite&gt;&lt;Author&gt;Kennedy&lt;/Author&gt;&lt;Year&gt;2006&lt;/Year&gt;&lt;RecNum&gt;5&lt;/RecNum&gt;&lt;DisplayText&gt;(Kennedy, Nantel, &amp;amp; Shetty, 2006)&lt;/DisplayText&gt;&lt;record&gt;&lt;rec-number&gt;5&lt;/rec-number&gt;&lt;foreign-keys&gt;&lt;key app="EN" db-id="advxwpzvq5dxwcerrv159tr9tpaetd992faf" timestamp="1433324069"&gt;5&lt;/key&gt;&lt;/foreign-keys&gt;&lt;ref-type name="Journal Article"&gt;17&lt;/ref-type&gt;&lt;contributors&gt;&lt;authors&gt;&lt;author&gt;Kennedy, G&lt;/author&gt;&lt;author&gt;Nantel, G&lt;/author&gt;&lt;author&gt;Shetty, P&lt;/author&gt;&lt;/authors&gt;&lt;/contributors&gt;&lt;titles&gt;&lt;title&gt;The double burden of malnutrition: case studies from six developing countries&lt;/title&gt;&lt;secondary-title&gt;Rome: Nutrition Planning, Assessment and Evaluation Service, Food and Agriculture Organization of the United Nations&lt;/secondary-title&gt;&lt;/titles&gt;&lt;periodical&gt;&lt;full-title&gt;Rome: Nutrition Planning, Assessment and Evaluation Service, Food and Agriculture Organization of the United Nations&lt;/full-title&gt;&lt;/periodical&gt;&lt;dates&gt;&lt;year&gt;2006&lt;/year&gt;&lt;/dates&gt;&lt;urls&gt;&lt;/urls&gt;&lt;/record&gt;&lt;/Cite&gt;&lt;/EndNote&gt;</w:instrText>
      </w:r>
      <w:r w:rsidR="00052FDB">
        <w:rPr>
          <w:sz w:val="24"/>
          <w:szCs w:val="24"/>
        </w:rPr>
        <w:fldChar w:fldCharType="separate"/>
      </w:r>
      <w:r w:rsidR="00052FDB">
        <w:rPr>
          <w:noProof/>
          <w:sz w:val="24"/>
          <w:szCs w:val="24"/>
        </w:rPr>
        <w:t>(Kennedy, Nantel, &amp; Shetty, 2006)</w:t>
      </w:r>
      <w:r w:rsidR="00052FDB">
        <w:rPr>
          <w:sz w:val="24"/>
          <w:szCs w:val="24"/>
        </w:rPr>
        <w:fldChar w:fldCharType="end"/>
      </w:r>
      <w:r w:rsidR="00A95C9B">
        <w:rPr>
          <w:sz w:val="24"/>
          <w:szCs w:val="24"/>
        </w:rPr>
        <w:t xml:space="preserve">. </w:t>
      </w:r>
      <w:r w:rsidR="004C1CD0">
        <w:rPr>
          <w:sz w:val="24"/>
          <w:szCs w:val="24"/>
        </w:rPr>
        <w:t xml:space="preserve">Matvarer </w:t>
      </w:r>
      <w:r w:rsidR="006818EE">
        <w:rPr>
          <w:sz w:val="24"/>
          <w:szCs w:val="24"/>
        </w:rPr>
        <w:t xml:space="preserve">som inneholder mye </w:t>
      </w:r>
      <w:r w:rsidR="001E3BEF">
        <w:rPr>
          <w:sz w:val="24"/>
          <w:szCs w:val="24"/>
        </w:rPr>
        <w:t xml:space="preserve">vegetabilsk fett og sukker </w:t>
      </w:r>
      <w:r w:rsidR="004C1CD0">
        <w:rPr>
          <w:sz w:val="24"/>
          <w:szCs w:val="24"/>
        </w:rPr>
        <w:t xml:space="preserve">har </w:t>
      </w:r>
      <w:r w:rsidR="006818EE">
        <w:rPr>
          <w:sz w:val="24"/>
          <w:szCs w:val="24"/>
        </w:rPr>
        <w:t>falt både ned</w:t>
      </w:r>
      <w:r w:rsidR="001E3BEF">
        <w:rPr>
          <w:sz w:val="24"/>
          <w:szCs w:val="24"/>
        </w:rPr>
        <w:t xml:space="preserve"> i pris</w:t>
      </w:r>
      <w:r w:rsidR="00F04180">
        <w:rPr>
          <w:sz w:val="24"/>
          <w:szCs w:val="24"/>
        </w:rPr>
        <w:t xml:space="preserve"> og</w:t>
      </w:r>
      <w:r w:rsidR="006818EE">
        <w:rPr>
          <w:sz w:val="24"/>
          <w:szCs w:val="24"/>
        </w:rPr>
        <w:t xml:space="preserve"> </w:t>
      </w:r>
      <w:r w:rsidR="001E3BEF">
        <w:rPr>
          <w:sz w:val="24"/>
          <w:szCs w:val="24"/>
        </w:rPr>
        <w:t>blitt lettere tilgjengelig. I takt med befolkningsvekst</w:t>
      </w:r>
      <w:r w:rsidR="00F04180">
        <w:rPr>
          <w:sz w:val="24"/>
          <w:szCs w:val="24"/>
        </w:rPr>
        <w:t>en</w:t>
      </w:r>
      <w:r w:rsidR="001E3BEF">
        <w:rPr>
          <w:sz w:val="24"/>
          <w:szCs w:val="24"/>
        </w:rPr>
        <w:t xml:space="preserve"> og industrialiseringen </w:t>
      </w:r>
      <w:r w:rsidR="00792C48">
        <w:rPr>
          <w:sz w:val="24"/>
          <w:szCs w:val="24"/>
        </w:rPr>
        <w:t xml:space="preserve">hos </w:t>
      </w:r>
      <w:r w:rsidR="009A578B">
        <w:rPr>
          <w:sz w:val="24"/>
          <w:szCs w:val="24"/>
        </w:rPr>
        <w:t xml:space="preserve">tidligere </w:t>
      </w:r>
      <w:r w:rsidR="00792C48">
        <w:rPr>
          <w:sz w:val="24"/>
          <w:szCs w:val="24"/>
        </w:rPr>
        <w:t xml:space="preserve">U-land </w:t>
      </w:r>
      <w:r w:rsidR="001E3BEF">
        <w:rPr>
          <w:sz w:val="24"/>
          <w:szCs w:val="24"/>
        </w:rPr>
        <w:t>har dette gitt endrin</w:t>
      </w:r>
      <w:r w:rsidR="009A578B">
        <w:rPr>
          <w:sz w:val="24"/>
          <w:szCs w:val="24"/>
        </w:rPr>
        <w:t xml:space="preserve">ger i sosioøkonomiske forhold og et </w:t>
      </w:r>
      <w:r>
        <w:rPr>
          <w:sz w:val="24"/>
          <w:szCs w:val="24"/>
        </w:rPr>
        <w:t xml:space="preserve">endret </w:t>
      </w:r>
      <w:r w:rsidR="009A578B">
        <w:rPr>
          <w:sz w:val="24"/>
          <w:szCs w:val="24"/>
        </w:rPr>
        <w:t>kostholdmønster.</w:t>
      </w:r>
      <w:r w:rsidR="00792C48">
        <w:rPr>
          <w:sz w:val="24"/>
          <w:szCs w:val="24"/>
        </w:rPr>
        <w:t xml:space="preserve"> Disse endringene for den urbane befolkningen ser ut til å</w:t>
      </w:r>
      <w:r w:rsidR="00F04180">
        <w:rPr>
          <w:sz w:val="24"/>
          <w:szCs w:val="24"/>
        </w:rPr>
        <w:t xml:space="preserve"> komme for raskt, spesielt </w:t>
      </w:r>
      <w:r w:rsidR="00792C48">
        <w:rPr>
          <w:sz w:val="24"/>
          <w:szCs w:val="24"/>
        </w:rPr>
        <w:t>hos lav- til middels- innkommende land. I tillegg ser det ut til å være biologiske faktorer som ytterl</w:t>
      </w:r>
      <w:r w:rsidR="009A578B">
        <w:rPr>
          <w:sz w:val="24"/>
          <w:szCs w:val="24"/>
        </w:rPr>
        <w:t xml:space="preserve">ige forsterker </w:t>
      </w:r>
      <w:r w:rsidR="00F04180">
        <w:rPr>
          <w:sz w:val="24"/>
          <w:szCs w:val="24"/>
        </w:rPr>
        <w:t xml:space="preserve">risikofaktorene. Dette har </w:t>
      </w:r>
      <w:r w:rsidR="009A578B">
        <w:rPr>
          <w:sz w:val="24"/>
          <w:szCs w:val="24"/>
        </w:rPr>
        <w:t xml:space="preserve">medført til en «dobbel byrde» hvor flere er </w:t>
      </w:r>
      <w:r w:rsidR="00FC3F06">
        <w:rPr>
          <w:sz w:val="24"/>
          <w:szCs w:val="24"/>
        </w:rPr>
        <w:t>både overvektige og feilernærte</w:t>
      </w:r>
      <w:r w:rsidR="00F04180">
        <w:rPr>
          <w:sz w:val="24"/>
          <w:szCs w:val="24"/>
        </w:rPr>
        <w:t xml:space="preserve"> samtidig</w:t>
      </w:r>
      <w:r w:rsidR="009A578B">
        <w:rPr>
          <w:sz w:val="24"/>
          <w:szCs w:val="24"/>
        </w:rPr>
        <w:t xml:space="preserve"> </w:t>
      </w:r>
      <w:r w:rsidR="009A578B">
        <w:rPr>
          <w:sz w:val="24"/>
          <w:szCs w:val="24"/>
        </w:rPr>
        <w:fldChar w:fldCharType="begin"/>
      </w:r>
      <w:r w:rsidR="009A578B">
        <w:rPr>
          <w:sz w:val="24"/>
          <w:szCs w:val="24"/>
        </w:rPr>
        <w:instrText xml:space="preserve"> ADDIN EN.CITE &lt;EndNote&gt;&lt;Cite&gt;&lt;Author&gt;Popkin&lt;/Author&gt;&lt;Year&gt;2012&lt;/Year&gt;&lt;RecNum&gt;16&lt;/RecNum&gt;&lt;DisplayText&gt;(Barry M. Popkin, Adair, &amp;amp; Ng, 2012)&lt;/DisplayText&gt;&lt;record&gt;&lt;rec-number&gt;16&lt;/rec-number&gt;&lt;foreign-keys&gt;&lt;key app="EN" db-id="advxwpzvq5dxwcerrv159tr9tpaetd992faf" timestamp="1433359395"&gt;16&lt;/key&gt;&lt;/foreign-keys&gt;&lt;ref-type name="Journal Article"&gt;17&lt;/ref-type&gt;&lt;contributors&gt;&lt;authors&gt;&lt;author&gt;Popkin, Barry M.&lt;/author&gt;&lt;author&gt;Adair, Linda S.&lt;/author&gt;&lt;author&gt;Ng, Shu Wen&lt;/author&gt;&lt;/authors&gt;&lt;/contributors&gt;&lt;titles&gt;&lt;title&gt;NOW AND THEN: The Global Nutrition Transition: The Pandemic of Obesity in Developing Countries&lt;/title&gt;&lt;secondary-title&gt;Nutrition Reviews&lt;/secondary-title&gt;&lt;/titles&gt;&lt;periodical&gt;&lt;full-title&gt;Nutrition Reviews&lt;/full-title&gt;&lt;/periodical&gt;&lt;pages&gt;3-21&lt;/pages&gt;&lt;volume&gt;70&lt;/volume&gt;&lt;number&gt;1&lt;/number&gt;&lt;dates&gt;&lt;year&gt;2012&lt;/year&gt;&lt;/dates&gt;&lt;isbn&gt;0029-6643&amp;#xD;1753-4887&lt;/isbn&gt;&lt;accession-num&gt;PMC3257829&lt;/accession-num&gt;&lt;urls&gt;&lt;related-urls&gt;&lt;url&gt;http://www.ncbi.nlm.nih.gov/pmc/articles/PMC3257829/&lt;/url&gt;&lt;/related-urls&gt;&lt;/urls&gt;&lt;electronic-resource-num&gt;10.1111/j.1753-4887.2011.00456.x&lt;/electronic-resource-num&gt;&lt;remote-database-name&gt;PMC&lt;/remote-database-name&gt;&lt;/record&gt;&lt;/Cite&gt;&lt;/EndNote&gt;</w:instrText>
      </w:r>
      <w:r w:rsidR="009A578B">
        <w:rPr>
          <w:sz w:val="24"/>
          <w:szCs w:val="24"/>
        </w:rPr>
        <w:fldChar w:fldCharType="separate"/>
      </w:r>
      <w:r w:rsidR="009A578B">
        <w:rPr>
          <w:noProof/>
          <w:sz w:val="24"/>
          <w:szCs w:val="24"/>
        </w:rPr>
        <w:t>(Barry M. Popkin, Adair, &amp; Ng, 2012)</w:t>
      </w:r>
      <w:r w:rsidR="009A578B">
        <w:rPr>
          <w:sz w:val="24"/>
          <w:szCs w:val="24"/>
        </w:rPr>
        <w:fldChar w:fldCharType="end"/>
      </w:r>
      <w:r w:rsidR="009A578B">
        <w:rPr>
          <w:sz w:val="24"/>
          <w:szCs w:val="24"/>
        </w:rPr>
        <w:t xml:space="preserve">.  </w:t>
      </w:r>
    </w:p>
    <w:p w:rsidR="00E64DE5" w:rsidRDefault="00A95C9B" w:rsidP="004C1CD0">
      <w:pPr>
        <w:rPr>
          <w:sz w:val="24"/>
          <w:szCs w:val="24"/>
        </w:rPr>
      </w:pPr>
      <w:r>
        <w:rPr>
          <w:sz w:val="24"/>
          <w:szCs w:val="24"/>
        </w:rPr>
        <w:t>Ernæringtransisjonen gir bedret ernæringsstatus. Demografisk transisjon gir nedgang i dødelighet og gir flere eldre som har større risiko for aldersrelaterte sykdommer. Epid</w:t>
      </w:r>
      <w:r w:rsidR="00DD6C1D">
        <w:rPr>
          <w:sz w:val="24"/>
          <w:szCs w:val="24"/>
        </w:rPr>
        <w:t>emiologisk transisjon bidrar til et</w:t>
      </w:r>
      <w:r>
        <w:rPr>
          <w:sz w:val="24"/>
          <w:szCs w:val="24"/>
        </w:rPr>
        <w:t xml:space="preserve"> b</w:t>
      </w:r>
      <w:r w:rsidR="00DD6C1D">
        <w:rPr>
          <w:sz w:val="24"/>
          <w:szCs w:val="24"/>
        </w:rPr>
        <w:t xml:space="preserve">edret ernæringsstatus grunnet </w:t>
      </w:r>
      <w:r>
        <w:rPr>
          <w:sz w:val="24"/>
          <w:szCs w:val="24"/>
        </w:rPr>
        <w:t xml:space="preserve">reduksjon av </w:t>
      </w:r>
      <w:r w:rsidR="00DD6C1D">
        <w:rPr>
          <w:sz w:val="24"/>
          <w:szCs w:val="24"/>
        </w:rPr>
        <w:t xml:space="preserve">smittsomme sykdommer. Popkin </w:t>
      </w:r>
      <w:r>
        <w:rPr>
          <w:sz w:val="24"/>
          <w:szCs w:val="24"/>
        </w:rPr>
        <w:t>påpekt</w:t>
      </w:r>
      <w:r w:rsidR="00DD6C1D">
        <w:rPr>
          <w:sz w:val="24"/>
          <w:szCs w:val="24"/>
        </w:rPr>
        <w:t>e</w:t>
      </w:r>
      <w:r w:rsidR="009A578B">
        <w:rPr>
          <w:sz w:val="24"/>
          <w:szCs w:val="24"/>
        </w:rPr>
        <w:t xml:space="preserve"> at </w:t>
      </w:r>
      <w:r w:rsidR="00792C48">
        <w:rPr>
          <w:sz w:val="24"/>
          <w:szCs w:val="24"/>
        </w:rPr>
        <w:t xml:space="preserve">utviklingsland trenger å vektlegge </w:t>
      </w:r>
      <w:r>
        <w:rPr>
          <w:sz w:val="24"/>
          <w:szCs w:val="24"/>
        </w:rPr>
        <w:t>disse faktorene for å være bedre rustet til å møte</w:t>
      </w:r>
      <w:r w:rsidR="00792C48">
        <w:rPr>
          <w:sz w:val="24"/>
          <w:szCs w:val="24"/>
        </w:rPr>
        <w:t xml:space="preserve"> konsekv</w:t>
      </w:r>
      <w:r w:rsidR="00DD6C1D">
        <w:rPr>
          <w:sz w:val="24"/>
          <w:szCs w:val="24"/>
        </w:rPr>
        <w:t>ensene som transisjonen gir</w:t>
      </w:r>
      <w:r>
        <w:rPr>
          <w:sz w:val="24"/>
          <w:szCs w:val="24"/>
        </w:rPr>
        <w:t xml:space="preserve"> </w:t>
      </w:r>
      <w:r w:rsidR="00792C48">
        <w:rPr>
          <w:sz w:val="24"/>
          <w:szCs w:val="24"/>
        </w:rPr>
        <w:fldChar w:fldCharType="begin"/>
      </w:r>
      <w:r w:rsidR="009A578B">
        <w:rPr>
          <w:sz w:val="24"/>
          <w:szCs w:val="24"/>
        </w:rPr>
        <w:instrText xml:space="preserve"> ADDIN EN.CITE &lt;EndNote&gt;&lt;Cite&gt;&lt;Author&gt;Popkin&lt;/Author&gt;&lt;Year&gt;2004&lt;/Year&gt;&lt;RecNum&gt;15&lt;/RecNum&gt;&lt;DisplayText&gt;(B. M. Popkin, 2004)&lt;/DisplayText&gt;&lt;record&gt;&lt;rec-number&gt;15&lt;/rec-number&gt;&lt;foreign-keys&gt;&lt;key app="EN" db-id="advxwpzvq5dxwcerrv159tr9tpaetd992faf" timestamp="1433358817"&gt;15&lt;/key&gt;&lt;/foreign-keys&gt;&lt;ref-type name="Journal Article"&gt;17&lt;/ref-type&gt;&lt;contributors&gt;&lt;authors&gt;&lt;author&gt;Popkin, B. M.&lt;/author&gt;&lt;/authors&gt;&lt;/contributors&gt;&lt;auth-address&gt;Department of Nutrition, School of Public Health, University of North Carolina at Chapel Hill, Chapel Hill, NC 27516-3997, USA.&lt;/auth-address&gt;&lt;titles&gt;&lt;title&gt;The nutrition transition: an overview of world patterns of change&lt;/title&gt;&lt;secondary-title&gt;Nutr Rev&lt;/secondary-title&gt;&lt;/titles&gt;&lt;periodical&gt;&lt;full-title&gt;Nutr Rev&lt;/full-title&gt;&lt;/periodical&gt;&lt;pages&gt;S140-3&lt;/pages&gt;&lt;volume&gt;62&lt;/volume&gt;&lt;number&gt;7 Pt 2&lt;/number&gt;&lt;edition&gt;2004/09/25&lt;/edition&gt;&lt;keywords&gt;&lt;keyword&gt;Body Composition/ physiology&lt;/keyword&gt;&lt;keyword&gt;Chronic Disease/ epidemiology&lt;/keyword&gt;&lt;keyword&gt;Developing Countries/economics/statistics &amp;amp; numerical data&lt;/keyword&gt;&lt;keyword&gt;Diet/ trends&lt;/keyword&gt;&lt;keyword&gt;Exercise/physiology&lt;/keyword&gt;&lt;keyword&gt;Female&lt;/keyword&gt;&lt;keyword&gt;Global Health&lt;/keyword&gt;&lt;keyword&gt;Health Transition&lt;/keyword&gt;&lt;keyword&gt;Humans&lt;/keyword&gt;&lt;keyword&gt;Life Style&lt;/keyword&gt;&lt;keyword&gt;Male&lt;/keyword&gt;&lt;keyword&gt;Obesity/epidemiology&lt;/keyword&gt;&lt;keyword&gt;Poverty&lt;/keyword&gt;&lt;/keywords&gt;&lt;dates&gt;&lt;year&gt;2004&lt;/year&gt;&lt;pub-dates&gt;&lt;date&gt;Jul&lt;/date&gt;&lt;/pub-dates&gt;&lt;/dates&gt;&lt;isbn&gt;0029-6643 (Print)&amp;#xD;0029-6643 (Linking)&lt;/isbn&gt;&lt;accession-num&gt;15387480&lt;/accession-num&gt;&lt;urls&gt;&lt;/urls&gt;&lt;remote-database-provider&gt;NLM&lt;/remote-database-provider&gt;&lt;language&gt;eng&lt;/language&gt;&lt;/record&gt;&lt;/Cite&gt;&lt;/EndNote&gt;</w:instrText>
      </w:r>
      <w:r w:rsidR="00792C48">
        <w:rPr>
          <w:sz w:val="24"/>
          <w:szCs w:val="24"/>
        </w:rPr>
        <w:fldChar w:fldCharType="separate"/>
      </w:r>
      <w:r w:rsidR="009A578B">
        <w:rPr>
          <w:noProof/>
          <w:sz w:val="24"/>
          <w:szCs w:val="24"/>
        </w:rPr>
        <w:t>(B. M. Popkin, 2004)</w:t>
      </w:r>
      <w:r w:rsidR="00792C48">
        <w:rPr>
          <w:sz w:val="24"/>
          <w:szCs w:val="24"/>
        </w:rPr>
        <w:fldChar w:fldCharType="end"/>
      </w:r>
      <w:r w:rsidR="00FC3F06">
        <w:rPr>
          <w:sz w:val="24"/>
          <w:szCs w:val="24"/>
        </w:rPr>
        <w:t>.</w:t>
      </w:r>
      <w:r w:rsidR="00561977">
        <w:rPr>
          <w:sz w:val="24"/>
          <w:szCs w:val="24"/>
        </w:rPr>
        <w:t xml:space="preserve"> </w:t>
      </w:r>
    </w:p>
    <w:p w:rsidR="005D2084" w:rsidRDefault="00EF7650" w:rsidP="004C1CD0">
      <w:pPr>
        <w:rPr>
          <w:sz w:val="24"/>
          <w:szCs w:val="24"/>
        </w:rPr>
      </w:pPr>
      <w:r>
        <w:rPr>
          <w:sz w:val="24"/>
          <w:szCs w:val="24"/>
        </w:rPr>
        <w:lastRenderedPageBreak/>
        <w:t>I l</w:t>
      </w:r>
      <w:r w:rsidR="00D25FB0">
        <w:rPr>
          <w:sz w:val="24"/>
          <w:szCs w:val="24"/>
        </w:rPr>
        <w:t>and som bytter</w:t>
      </w:r>
      <w:r w:rsidR="006818EE">
        <w:rPr>
          <w:sz w:val="24"/>
          <w:szCs w:val="24"/>
        </w:rPr>
        <w:t xml:space="preserve"> </w:t>
      </w:r>
      <w:r w:rsidR="004C1CD0">
        <w:rPr>
          <w:sz w:val="24"/>
          <w:szCs w:val="24"/>
        </w:rPr>
        <w:t xml:space="preserve">tradisjonell kost </w:t>
      </w:r>
      <w:r w:rsidR="00D25FB0">
        <w:rPr>
          <w:sz w:val="24"/>
          <w:szCs w:val="24"/>
        </w:rPr>
        <w:t xml:space="preserve">med en </w:t>
      </w:r>
      <w:r w:rsidR="004C1CD0">
        <w:rPr>
          <w:sz w:val="24"/>
          <w:szCs w:val="24"/>
        </w:rPr>
        <w:t>mer vest</w:t>
      </w:r>
      <w:r w:rsidR="00D25FB0">
        <w:rPr>
          <w:sz w:val="24"/>
          <w:szCs w:val="24"/>
        </w:rPr>
        <w:t>lig diett sees det en</w:t>
      </w:r>
      <w:r w:rsidR="004C1CD0">
        <w:rPr>
          <w:sz w:val="24"/>
          <w:szCs w:val="24"/>
        </w:rPr>
        <w:t xml:space="preserve"> </w:t>
      </w:r>
      <w:r w:rsidR="00D25FB0">
        <w:rPr>
          <w:sz w:val="24"/>
          <w:szCs w:val="24"/>
        </w:rPr>
        <w:t>økning</w:t>
      </w:r>
      <w:r w:rsidR="006818EE">
        <w:rPr>
          <w:sz w:val="24"/>
          <w:szCs w:val="24"/>
        </w:rPr>
        <w:t xml:space="preserve"> av</w:t>
      </w:r>
      <w:r w:rsidR="004C1CD0">
        <w:rPr>
          <w:sz w:val="24"/>
          <w:szCs w:val="24"/>
        </w:rPr>
        <w:t xml:space="preserve"> </w:t>
      </w:r>
      <w:r w:rsidR="00FC3F06">
        <w:rPr>
          <w:sz w:val="24"/>
          <w:szCs w:val="24"/>
        </w:rPr>
        <w:t>«</w:t>
      </w:r>
      <w:r w:rsidR="006818EE">
        <w:rPr>
          <w:sz w:val="24"/>
          <w:szCs w:val="24"/>
        </w:rPr>
        <w:t>ernærings</w:t>
      </w:r>
      <w:r w:rsidR="004C1CD0">
        <w:rPr>
          <w:sz w:val="24"/>
          <w:szCs w:val="24"/>
        </w:rPr>
        <w:t>-</w:t>
      </w:r>
      <w:r w:rsidR="006818EE">
        <w:rPr>
          <w:sz w:val="24"/>
          <w:szCs w:val="24"/>
        </w:rPr>
        <w:t xml:space="preserve">relaterte </w:t>
      </w:r>
      <w:r w:rsidR="00792C48">
        <w:rPr>
          <w:sz w:val="24"/>
          <w:szCs w:val="24"/>
        </w:rPr>
        <w:t xml:space="preserve">ikke-smittsomme </w:t>
      </w:r>
      <w:r w:rsidR="006818EE">
        <w:rPr>
          <w:sz w:val="24"/>
          <w:szCs w:val="24"/>
        </w:rPr>
        <w:t>sykdommer</w:t>
      </w:r>
      <w:r w:rsidR="00FC3F06">
        <w:rPr>
          <w:sz w:val="24"/>
          <w:szCs w:val="24"/>
        </w:rPr>
        <w:t>»</w:t>
      </w:r>
      <w:r w:rsidR="00792C48">
        <w:rPr>
          <w:sz w:val="24"/>
          <w:szCs w:val="24"/>
        </w:rPr>
        <w:t xml:space="preserve"> (NR-NCDs)</w:t>
      </w:r>
      <w:r w:rsidR="00DA358D">
        <w:rPr>
          <w:sz w:val="24"/>
          <w:szCs w:val="24"/>
        </w:rPr>
        <w:t xml:space="preserve">. </w:t>
      </w:r>
      <w:r w:rsidR="005D2084">
        <w:rPr>
          <w:sz w:val="24"/>
          <w:szCs w:val="24"/>
        </w:rPr>
        <w:t>S</w:t>
      </w:r>
      <w:r w:rsidR="006818EE">
        <w:rPr>
          <w:sz w:val="24"/>
          <w:szCs w:val="24"/>
        </w:rPr>
        <w:t>mittsomme</w:t>
      </w:r>
      <w:r w:rsidR="00FC3F06">
        <w:rPr>
          <w:sz w:val="24"/>
          <w:szCs w:val="24"/>
        </w:rPr>
        <w:t xml:space="preserve"> </w:t>
      </w:r>
      <w:r w:rsidR="005D2084">
        <w:rPr>
          <w:sz w:val="24"/>
          <w:szCs w:val="24"/>
        </w:rPr>
        <w:t xml:space="preserve">sykdommer </w:t>
      </w:r>
      <w:r w:rsidR="00FC3F06">
        <w:rPr>
          <w:sz w:val="24"/>
          <w:szCs w:val="24"/>
        </w:rPr>
        <w:t xml:space="preserve">går på </w:t>
      </w:r>
      <w:r w:rsidR="006818EE">
        <w:rPr>
          <w:sz w:val="24"/>
          <w:szCs w:val="24"/>
        </w:rPr>
        <w:t>bekostning av ikke-smittsomme</w:t>
      </w:r>
      <w:r w:rsidR="00DA358D">
        <w:rPr>
          <w:sz w:val="24"/>
          <w:szCs w:val="24"/>
        </w:rPr>
        <w:t xml:space="preserve"> </w:t>
      </w:r>
      <w:r w:rsidR="00DA358D">
        <w:rPr>
          <w:sz w:val="24"/>
          <w:szCs w:val="24"/>
        </w:rPr>
        <w:fldChar w:fldCharType="begin"/>
      </w:r>
      <w:r w:rsidR="00DA358D">
        <w:rPr>
          <w:sz w:val="24"/>
          <w:szCs w:val="24"/>
        </w:rPr>
        <w:instrText xml:space="preserve"> ADDIN EN.CITE &lt;EndNote&gt;&lt;Cite&gt;&lt;Author&gt;Anjana&lt;/Author&gt;&lt;Year&gt;2011&lt;/Year&gt;&lt;RecNum&gt;13&lt;/RecNum&gt;&lt;DisplayText&gt;(Anjana et al., 2011)&lt;/DisplayText&gt;&lt;record&gt;&lt;rec-number&gt;13&lt;/rec-number&gt;&lt;foreign-keys&gt;&lt;key app="EN" db-id="advxwpzvq5dxwcerrv159tr9tpaetd992faf" timestamp="1433354747"&gt;13&lt;/key&gt;&lt;/foreign-keys&gt;&lt;ref-type name="Journal Article"&gt;17&lt;/ref-type&gt;&lt;contributors&gt;&lt;authors&gt;&lt;author&gt;Anjana, R. M.&lt;/author&gt;&lt;author&gt;Ali, M. K.&lt;/author&gt;&lt;author&gt;Pradeepa, R.&lt;/author&gt;&lt;author&gt;Deepa, M.&lt;/author&gt;&lt;author&gt;Datta, M.&lt;/author&gt;&lt;author&gt;Unnikrishnan, R.&lt;/author&gt;&lt;author&gt;Rema, M.&lt;/author&gt;&lt;author&gt;Mohan, V.&lt;/author&gt;&lt;/authors&gt;&lt;/contributors&gt;&lt;auth-address&gt;Madras Diabetes Research Foundation &amp;amp; Dr. Mohan&amp;apos;s Diabetes Specialities Centre, WHO Collaborating Centre for Noncommunicable Diseases, Prevention &amp;amp; Control, Chennai, India.&lt;/auth-address&gt;&lt;titles&gt;&lt;title&gt;The need for obtaining accurate nationwide estimates of diabetes prevalence in India - rationale for a national study on diabetes&lt;/title&gt;&lt;secondary-title&gt;Indian J Med Res&lt;/secondary-title&gt;&lt;/titles&gt;&lt;periodical&gt;&lt;full-title&gt;Indian J Med Res&lt;/full-title&gt;&lt;/periodical&gt;&lt;pages&gt;369-80&lt;/pages&gt;&lt;volume&gt;133&lt;/volume&gt;&lt;edition&gt;2011/05/04&lt;/edition&gt;&lt;keywords&gt;&lt;keyword&gt;Diabetes Complications/epidemiology&lt;/keyword&gt;&lt;keyword&gt;Diabetes Mellitus/ epidemiology&lt;/keyword&gt;&lt;keyword&gt;Diabetes Mellitus, Type 2/epidemiology&lt;/keyword&gt;&lt;keyword&gt;Epidemiologic Research Design&lt;/keyword&gt;&lt;keyword&gt;Health Knowledge, Attitudes, Practice&lt;/keyword&gt;&lt;keyword&gt;Health Services Needs and Demand&lt;/keyword&gt;&lt;keyword&gt;Humans&lt;/keyword&gt;&lt;keyword&gt;India/epidemiology&lt;/keyword&gt;&lt;keyword&gt;Policy&lt;/keyword&gt;&lt;keyword&gt;Prevalence&lt;/keyword&gt;&lt;keyword&gt;Public Health&lt;/keyword&gt;&lt;/keywords&gt;&lt;dates&gt;&lt;year&gt;2011&lt;/year&gt;&lt;pub-dates&gt;&lt;date&gt;Apr&lt;/date&gt;&lt;/pub-dates&gt;&lt;/dates&gt;&lt;isbn&gt;0971-5916 (Print)&amp;#xD;0971-5916 (Linking)&lt;/isbn&gt;&lt;accession-num&gt;21537089&lt;/accession-num&gt;&lt;urls&gt;&lt;/urls&gt;&lt;custom2&gt;PMC3103169&lt;/custom2&gt;&lt;remote-database-provider&gt;NLM&lt;/remote-database-provider&gt;&lt;language&gt;eng&lt;/language&gt;&lt;/record&gt;&lt;/Cite&gt;&lt;/EndNote&gt;</w:instrText>
      </w:r>
      <w:r w:rsidR="00DA358D">
        <w:rPr>
          <w:sz w:val="24"/>
          <w:szCs w:val="24"/>
        </w:rPr>
        <w:fldChar w:fldCharType="separate"/>
      </w:r>
      <w:r w:rsidR="00DA358D">
        <w:rPr>
          <w:noProof/>
          <w:sz w:val="24"/>
          <w:szCs w:val="24"/>
        </w:rPr>
        <w:t>(Anjana et al., 2011)</w:t>
      </w:r>
      <w:r w:rsidR="00DA358D">
        <w:rPr>
          <w:sz w:val="24"/>
          <w:szCs w:val="24"/>
        </w:rPr>
        <w:fldChar w:fldCharType="end"/>
      </w:r>
      <w:r w:rsidR="00DA358D">
        <w:rPr>
          <w:sz w:val="24"/>
          <w:szCs w:val="24"/>
        </w:rPr>
        <w:t>.</w:t>
      </w:r>
      <w:r w:rsidR="006818EE">
        <w:rPr>
          <w:sz w:val="24"/>
          <w:szCs w:val="24"/>
        </w:rPr>
        <w:t xml:space="preserve"> </w:t>
      </w:r>
    </w:p>
    <w:p w:rsidR="004C1CD0" w:rsidRDefault="000F524B" w:rsidP="004C1CD0">
      <w:pPr>
        <w:rPr>
          <w:sz w:val="24"/>
          <w:szCs w:val="24"/>
        </w:rPr>
      </w:pPr>
      <w:r>
        <w:rPr>
          <w:sz w:val="24"/>
          <w:szCs w:val="24"/>
        </w:rPr>
        <w:t xml:space="preserve">Figur 1 illustrerer </w:t>
      </w:r>
      <w:r w:rsidR="005978C7">
        <w:rPr>
          <w:sz w:val="24"/>
          <w:szCs w:val="24"/>
        </w:rPr>
        <w:t>med India som</w:t>
      </w:r>
      <w:r>
        <w:rPr>
          <w:sz w:val="24"/>
          <w:szCs w:val="24"/>
        </w:rPr>
        <w:t xml:space="preserve"> et eksempel hvor disse to har «møtt» hverandre midtveis. </w:t>
      </w:r>
    </w:p>
    <w:p w:rsidR="000F524B" w:rsidRDefault="000F524B" w:rsidP="004C1CD0">
      <w:pPr>
        <w:rPr>
          <w:sz w:val="24"/>
          <w:szCs w:val="24"/>
        </w:rPr>
      </w:pPr>
      <w:r>
        <w:rPr>
          <w:noProof/>
          <w:sz w:val="24"/>
          <w:szCs w:val="24"/>
          <w:lang w:eastAsia="nb-NO"/>
        </w:rPr>
        <w:drawing>
          <wp:inline distT="0" distB="0" distL="0" distR="0" wp14:anchorId="086665AA" wp14:editId="5B56DD55">
            <wp:extent cx="5760720" cy="2543175"/>
            <wp:effectExtent l="0" t="0" r="0" b="9525"/>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1.jpg"/>
                    <pic:cNvPicPr/>
                  </pic:nvPicPr>
                  <pic:blipFill>
                    <a:blip r:embed="rId8">
                      <a:extLst>
                        <a:ext uri="{28A0092B-C50C-407E-A947-70E740481C1C}">
                          <a14:useLocalDpi xmlns:a14="http://schemas.microsoft.com/office/drawing/2010/main" val="0"/>
                        </a:ext>
                      </a:extLst>
                    </a:blip>
                    <a:stretch>
                      <a:fillRect/>
                    </a:stretch>
                  </pic:blipFill>
                  <pic:spPr>
                    <a:xfrm>
                      <a:off x="0" y="0"/>
                      <a:ext cx="5760720" cy="2543175"/>
                    </a:xfrm>
                    <a:prstGeom prst="rect">
                      <a:avLst/>
                    </a:prstGeom>
                  </pic:spPr>
                </pic:pic>
              </a:graphicData>
            </a:graphic>
          </wp:inline>
        </w:drawing>
      </w:r>
    </w:p>
    <w:p w:rsidR="00FC3F06" w:rsidRPr="00DF123B" w:rsidRDefault="000F524B" w:rsidP="004B4558">
      <w:pPr>
        <w:rPr>
          <w:sz w:val="20"/>
          <w:szCs w:val="20"/>
        </w:rPr>
      </w:pPr>
      <w:r w:rsidRPr="00DF123B">
        <w:rPr>
          <w:sz w:val="20"/>
          <w:szCs w:val="20"/>
        </w:rPr>
        <w:t>Figur 1. Epidemiologic transition of communicable vs non-communicable diseases. Hentet fra «The need for obtaining accurate nationwide estimates of diabetes prevalence in India – rationale for a national study on diabetes,» av (Anjana et al., 2011).</w:t>
      </w:r>
      <w:r w:rsidR="004B4558" w:rsidRPr="00DF123B">
        <w:rPr>
          <w:sz w:val="20"/>
          <w:szCs w:val="20"/>
        </w:rPr>
        <w:t xml:space="preserve"> </w:t>
      </w:r>
      <w:r w:rsidR="004B4558" w:rsidRPr="00DF123B">
        <w:rPr>
          <w:i/>
          <w:sz w:val="20"/>
          <w:szCs w:val="20"/>
        </w:rPr>
        <w:t>Indian J med Res</w:t>
      </w:r>
      <w:r w:rsidR="004B4558" w:rsidRPr="00DF123B">
        <w:rPr>
          <w:sz w:val="20"/>
          <w:szCs w:val="20"/>
        </w:rPr>
        <w:t>,</w:t>
      </w:r>
      <w:r w:rsidR="002F1411" w:rsidRPr="00DF123B">
        <w:rPr>
          <w:sz w:val="20"/>
          <w:szCs w:val="20"/>
        </w:rPr>
        <w:t xml:space="preserve"> Apr:133(4): 369-380.</w:t>
      </w:r>
      <w:r w:rsidRPr="00DF123B">
        <w:rPr>
          <w:sz w:val="20"/>
          <w:szCs w:val="20"/>
        </w:rPr>
        <w:t xml:space="preserve"> </w:t>
      </w:r>
      <w:r w:rsidR="004B4558" w:rsidRPr="00DF123B">
        <w:rPr>
          <w:sz w:val="20"/>
          <w:szCs w:val="20"/>
        </w:rPr>
        <w:t xml:space="preserve">Copyright 2015. </w:t>
      </w:r>
      <w:r w:rsidRPr="00DF123B">
        <w:rPr>
          <w:sz w:val="20"/>
          <w:szCs w:val="20"/>
        </w:rPr>
        <w:t xml:space="preserve">Gjengitt med tillatelse. </w:t>
      </w:r>
    </w:p>
    <w:p w:rsidR="000643C5" w:rsidRPr="00D10EB0" w:rsidRDefault="00160341" w:rsidP="000643C5">
      <w:pPr>
        <w:pStyle w:val="Overskrift2"/>
        <w:rPr>
          <w:color w:val="1F4E79" w:themeColor="accent1" w:themeShade="80"/>
        </w:rPr>
      </w:pPr>
      <w:bookmarkStart w:id="3" w:name="_Toc421263271"/>
      <w:r w:rsidRPr="00D10EB0">
        <w:rPr>
          <w:color w:val="1F4E79" w:themeColor="accent1" w:themeShade="80"/>
        </w:rPr>
        <w:t>L</w:t>
      </w:r>
      <w:r w:rsidR="00AB0697" w:rsidRPr="00D10EB0">
        <w:rPr>
          <w:color w:val="1F4E79" w:themeColor="accent1" w:themeShade="80"/>
        </w:rPr>
        <w:t xml:space="preserve">ever </w:t>
      </w:r>
      <w:r w:rsidR="007260D4" w:rsidRPr="00D10EB0">
        <w:rPr>
          <w:color w:val="1F4E79" w:themeColor="accent1" w:themeShade="80"/>
        </w:rPr>
        <w:t>vi i en fedme</w:t>
      </w:r>
      <w:r w:rsidR="005978C7">
        <w:rPr>
          <w:color w:val="1F4E79" w:themeColor="accent1" w:themeShade="80"/>
        </w:rPr>
        <w:t>-</w:t>
      </w:r>
      <w:r w:rsidR="00F2599D" w:rsidRPr="00D10EB0">
        <w:rPr>
          <w:color w:val="1F4E79" w:themeColor="accent1" w:themeShade="80"/>
        </w:rPr>
        <w:t>stimulerende</w:t>
      </w:r>
      <w:r w:rsidR="00AB0697" w:rsidRPr="00D10EB0">
        <w:rPr>
          <w:color w:val="1F4E79" w:themeColor="accent1" w:themeShade="80"/>
        </w:rPr>
        <w:t xml:space="preserve"> miljø?</w:t>
      </w:r>
      <w:bookmarkEnd w:id="3"/>
      <w:r w:rsidR="00B67BC9" w:rsidRPr="00D10EB0">
        <w:rPr>
          <w:color w:val="1F4E79" w:themeColor="accent1" w:themeShade="80"/>
        </w:rPr>
        <w:t xml:space="preserve"> </w:t>
      </w:r>
    </w:p>
    <w:p w:rsidR="00A95C9B" w:rsidRDefault="008B5F84" w:rsidP="00C81201">
      <w:pPr>
        <w:rPr>
          <w:sz w:val="24"/>
          <w:szCs w:val="24"/>
        </w:rPr>
      </w:pPr>
      <w:r>
        <w:rPr>
          <w:sz w:val="24"/>
          <w:szCs w:val="24"/>
        </w:rPr>
        <w:t>«</w:t>
      </w:r>
      <w:r w:rsidR="00160341">
        <w:rPr>
          <w:sz w:val="24"/>
          <w:szCs w:val="24"/>
        </w:rPr>
        <w:t>O</w:t>
      </w:r>
      <w:r>
        <w:rPr>
          <w:sz w:val="24"/>
          <w:szCs w:val="24"/>
        </w:rPr>
        <w:t>besogenicity environment»</w:t>
      </w:r>
      <w:r w:rsidR="00160341">
        <w:rPr>
          <w:sz w:val="24"/>
          <w:szCs w:val="24"/>
        </w:rPr>
        <w:t xml:space="preserve"> defineres som</w:t>
      </w:r>
      <w:r>
        <w:rPr>
          <w:sz w:val="24"/>
          <w:szCs w:val="24"/>
        </w:rPr>
        <w:t xml:space="preserve"> «Summen av påvirkninger fra omgivelser, muligheter eller livsbetingelser som fremmer fedme hos personer eller hos en befolkning»</w:t>
      </w:r>
      <w:r w:rsidR="00F41D3C">
        <w:rPr>
          <w:sz w:val="24"/>
          <w:szCs w:val="24"/>
        </w:rPr>
        <w:t>.</w:t>
      </w:r>
      <w:r>
        <w:rPr>
          <w:sz w:val="24"/>
          <w:szCs w:val="24"/>
        </w:rPr>
        <w:t xml:space="preserve"> </w:t>
      </w:r>
      <w:r w:rsidR="00F41D3C">
        <w:rPr>
          <w:sz w:val="24"/>
          <w:szCs w:val="24"/>
        </w:rPr>
        <w:br/>
        <w:t>Det er fra samfunnet et bredt aspekter av variabler som påvirker i begge retninger.</w:t>
      </w:r>
      <w:r w:rsidR="005271A8">
        <w:rPr>
          <w:sz w:val="24"/>
          <w:szCs w:val="24"/>
        </w:rPr>
        <w:t xml:space="preserve"> Overvekt og fedme har ikke én årsak og miljøet spiller </w:t>
      </w:r>
      <w:r w:rsidR="005978C7">
        <w:rPr>
          <w:sz w:val="24"/>
          <w:szCs w:val="24"/>
        </w:rPr>
        <w:t xml:space="preserve">dermed </w:t>
      </w:r>
      <w:r w:rsidR="005271A8">
        <w:rPr>
          <w:sz w:val="24"/>
          <w:szCs w:val="24"/>
        </w:rPr>
        <w:t xml:space="preserve">en stor rolle. </w:t>
      </w:r>
      <w:r w:rsidR="00F41D3C">
        <w:rPr>
          <w:sz w:val="24"/>
          <w:szCs w:val="24"/>
        </w:rPr>
        <w:t xml:space="preserve">Fordi disse kan være komplekse av natur og lar seg også påvirke av veldig mange årsaker, kan det være utfordrende å identifisere variabler som er direkte ugunstige. </w:t>
      </w:r>
      <w:r w:rsidR="005978C7">
        <w:rPr>
          <w:sz w:val="24"/>
          <w:szCs w:val="24"/>
        </w:rPr>
        <w:t>T</w:t>
      </w:r>
      <w:r w:rsidR="005271A8">
        <w:rPr>
          <w:sz w:val="24"/>
          <w:szCs w:val="24"/>
        </w:rPr>
        <w:t>il tross for dette</w:t>
      </w:r>
      <w:r w:rsidR="005978C7">
        <w:rPr>
          <w:sz w:val="24"/>
          <w:szCs w:val="24"/>
        </w:rPr>
        <w:t xml:space="preserve"> har det moderne samfunnet</w:t>
      </w:r>
      <w:r w:rsidR="005271A8">
        <w:rPr>
          <w:sz w:val="24"/>
          <w:szCs w:val="24"/>
        </w:rPr>
        <w:t xml:space="preserve"> trolig </w:t>
      </w:r>
      <w:r w:rsidR="005978C7">
        <w:rPr>
          <w:sz w:val="24"/>
          <w:szCs w:val="24"/>
        </w:rPr>
        <w:t>påvirket dette miljøet negativt</w:t>
      </w:r>
      <w:r w:rsidR="00F41D3C">
        <w:rPr>
          <w:sz w:val="24"/>
          <w:szCs w:val="24"/>
        </w:rPr>
        <w:t xml:space="preserve"> </w:t>
      </w:r>
      <w:r w:rsidR="00676253">
        <w:rPr>
          <w:sz w:val="24"/>
          <w:szCs w:val="24"/>
        </w:rPr>
        <w:fldChar w:fldCharType="begin"/>
      </w:r>
      <w:r w:rsidR="00D25FB0">
        <w:rPr>
          <w:sz w:val="24"/>
          <w:szCs w:val="24"/>
        </w:rPr>
        <w:instrText xml:space="preserve"> ADDIN EN.CITE &lt;EndNote&gt;&lt;Cite&gt;&lt;Author&gt;Lake&lt;/Author&gt;&lt;Year&gt;2006&lt;/Year&gt;&lt;RecNum&gt;3&lt;/RecNum&gt;&lt;DisplayText&gt;(Lake &amp;amp; Townshend, 2006)&lt;/DisplayText&gt;&lt;record&gt;&lt;rec-number&gt;3&lt;/rec-number&gt;&lt;foreign-keys&gt;&lt;key app="EN" db-id="advxwpzvq5dxwcerrv159tr9tpaetd992faf" timestamp="1433319295"&gt;3&lt;/key&gt;&lt;/foreign-keys&gt;&lt;ref-type name="Journal Article"&gt;17&lt;/ref-type&gt;&lt;contributors&gt;&lt;authors&gt;&lt;author&gt;Lake, A.&lt;/author&gt;&lt;author&gt;Townshend, T.&lt;/author&gt;&lt;/authors&gt;&lt;/contributors&gt;&lt;auth-address&gt;Newcastle University, School of Clinical and Medical Sciences, Human Nutrition Research Centre, Medical School, William Leech Building, Framlington Place, Newcastle, NE1 4HH, UK. Amelia.lake@ncl.ac.uk&lt;/auth-address&gt;&lt;titles&gt;&lt;title&gt;Obesogenic environments: exploring the built and food environments&lt;/title&gt;&lt;secondary-title&gt;J R Soc Promot Health&lt;/secondary-title&gt;&lt;/titles&gt;&lt;periodical&gt;&lt;full-title&gt;J R Soc Promot Health&lt;/full-title&gt;&lt;/periodical&gt;&lt;pages&gt;262-7&lt;/pages&gt;&lt;volume&gt;126&lt;/volume&gt;&lt;number&gt;6&lt;/number&gt;&lt;edition&gt;2006/12/13&lt;/edition&gt;&lt;keywords&gt;&lt;keyword&gt;Eating/physiology/ psychology&lt;/keyword&gt;&lt;keyword&gt;Environment Design&lt;/keyword&gt;&lt;keyword&gt;Exercise&lt;/keyword&gt;&lt;keyword&gt;Great Britain/epidemiology&lt;/keyword&gt;&lt;keyword&gt;Health Behavior&lt;/keyword&gt;&lt;keyword&gt;Humans&lt;/keyword&gt;&lt;keyword&gt;Life Style&lt;/keyword&gt;&lt;keyword&gt;Obesity/ epidemiology/etiology/prevention &amp;amp; control&lt;/keyword&gt;&lt;keyword&gt;Risk Assessment&lt;/keyword&gt;&lt;keyword&gt;Risk Factors&lt;/keyword&gt;&lt;keyword&gt;Social Environment&lt;/keyword&gt;&lt;/keywords&gt;&lt;dates&gt;&lt;year&gt;2006&lt;/year&gt;&lt;pub-dates&gt;&lt;date&gt;Nov&lt;/date&gt;&lt;/pub-dates&gt;&lt;/dates&gt;&lt;isbn&gt;1466-4240 (Print)&amp;#xD;1466-4240 (Linking)&lt;/isbn&gt;&lt;accession-num&gt;17152319&lt;/accession-num&gt;&lt;urls&gt;&lt;/urls&gt;&lt;remote-database-provider&gt;NLM&lt;/remote-database-provider&gt;&lt;language&gt;eng&lt;/language&gt;&lt;/record&gt;&lt;/Cite&gt;&lt;/EndNote&gt;</w:instrText>
      </w:r>
      <w:r w:rsidR="00676253">
        <w:rPr>
          <w:sz w:val="24"/>
          <w:szCs w:val="24"/>
        </w:rPr>
        <w:fldChar w:fldCharType="separate"/>
      </w:r>
      <w:r w:rsidR="00D25FB0">
        <w:rPr>
          <w:noProof/>
          <w:sz w:val="24"/>
          <w:szCs w:val="24"/>
        </w:rPr>
        <w:t>(Lake &amp; Townshend, 2006)</w:t>
      </w:r>
      <w:r w:rsidR="00676253">
        <w:rPr>
          <w:sz w:val="24"/>
          <w:szCs w:val="24"/>
        </w:rPr>
        <w:fldChar w:fldCharType="end"/>
      </w:r>
      <w:r w:rsidR="00676253">
        <w:rPr>
          <w:sz w:val="24"/>
          <w:szCs w:val="24"/>
        </w:rPr>
        <w:t>.</w:t>
      </w:r>
      <w:r w:rsidR="005271A8">
        <w:rPr>
          <w:sz w:val="24"/>
          <w:szCs w:val="24"/>
        </w:rPr>
        <w:br/>
      </w:r>
      <w:r w:rsidR="00E178F3">
        <w:rPr>
          <w:sz w:val="24"/>
          <w:szCs w:val="24"/>
        </w:rPr>
        <w:br/>
      </w:r>
      <w:r w:rsidR="005271A8">
        <w:rPr>
          <w:sz w:val="24"/>
          <w:szCs w:val="24"/>
        </w:rPr>
        <w:t xml:space="preserve">Matindustrien har </w:t>
      </w:r>
      <w:r w:rsidR="00125BE8">
        <w:rPr>
          <w:sz w:val="24"/>
          <w:szCs w:val="24"/>
        </w:rPr>
        <w:t xml:space="preserve">aggressive </w:t>
      </w:r>
      <w:r w:rsidR="00BE4023">
        <w:rPr>
          <w:sz w:val="24"/>
          <w:szCs w:val="24"/>
        </w:rPr>
        <w:t xml:space="preserve">reklamekampanjer </w:t>
      </w:r>
      <w:r w:rsidR="003238FE">
        <w:rPr>
          <w:sz w:val="24"/>
          <w:szCs w:val="24"/>
        </w:rPr>
        <w:t>som promoterer</w:t>
      </w:r>
      <w:r w:rsidR="00125BE8">
        <w:rPr>
          <w:sz w:val="24"/>
          <w:szCs w:val="24"/>
        </w:rPr>
        <w:t xml:space="preserve"> til</w:t>
      </w:r>
      <w:r w:rsidR="005271A8">
        <w:rPr>
          <w:sz w:val="24"/>
          <w:szCs w:val="24"/>
        </w:rPr>
        <w:t xml:space="preserve"> en</w:t>
      </w:r>
      <w:r w:rsidR="003238FE">
        <w:rPr>
          <w:sz w:val="24"/>
          <w:szCs w:val="24"/>
        </w:rPr>
        <w:t xml:space="preserve"> kompulsiv </w:t>
      </w:r>
      <w:r w:rsidR="005271A8">
        <w:rPr>
          <w:sz w:val="24"/>
          <w:szCs w:val="24"/>
        </w:rPr>
        <w:t>overspising.</w:t>
      </w:r>
      <w:r w:rsidR="00BE4023">
        <w:rPr>
          <w:sz w:val="24"/>
          <w:szCs w:val="24"/>
        </w:rPr>
        <w:t xml:space="preserve"> </w:t>
      </w:r>
      <w:r w:rsidR="00C81201">
        <w:rPr>
          <w:sz w:val="24"/>
          <w:szCs w:val="24"/>
        </w:rPr>
        <w:t>Det er vanskelig å konkurrere med den daglige, sofisti</w:t>
      </w:r>
      <w:r w:rsidR="00125BE8">
        <w:rPr>
          <w:sz w:val="24"/>
          <w:szCs w:val="24"/>
        </w:rPr>
        <w:t xml:space="preserve">kerte og store </w:t>
      </w:r>
      <w:r w:rsidR="00C81201">
        <w:rPr>
          <w:sz w:val="24"/>
          <w:szCs w:val="24"/>
        </w:rPr>
        <w:t>markedsføringen til matindustrien</w:t>
      </w:r>
      <w:r w:rsidR="00125BE8">
        <w:rPr>
          <w:sz w:val="24"/>
          <w:szCs w:val="24"/>
        </w:rPr>
        <w:t>. Reklamene oppfordrer til et økt inntak.</w:t>
      </w:r>
      <w:r w:rsidR="00D25FB0">
        <w:rPr>
          <w:sz w:val="24"/>
          <w:szCs w:val="24"/>
        </w:rPr>
        <w:t xml:space="preserve"> Porsjonsstørrelsene fra flere fastfood-kjeder har økt. </w:t>
      </w:r>
      <w:r w:rsidR="00125BE8">
        <w:rPr>
          <w:sz w:val="24"/>
          <w:szCs w:val="24"/>
        </w:rPr>
        <w:t xml:space="preserve">I tillegg </w:t>
      </w:r>
      <w:r w:rsidR="00D25FB0">
        <w:rPr>
          <w:sz w:val="24"/>
          <w:szCs w:val="24"/>
        </w:rPr>
        <w:t>til har</w:t>
      </w:r>
      <w:r w:rsidR="00125BE8">
        <w:rPr>
          <w:sz w:val="24"/>
          <w:szCs w:val="24"/>
        </w:rPr>
        <w:t xml:space="preserve"> produktene ofte for</w:t>
      </w:r>
      <w:r w:rsidR="00C81201">
        <w:rPr>
          <w:sz w:val="24"/>
          <w:szCs w:val="24"/>
        </w:rPr>
        <w:t>lokkende navn</w:t>
      </w:r>
      <w:r w:rsidR="00125BE8">
        <w:rPr>
          <w:sz w:val="24"/>
          <w:szCs w:val="24"/>
        </w:rPr>
        <w:t xml:space="preserve"> som indirekte bidrar til å stimulere inntaket</w:t>
      </w:r>
      <w:r w:rsidR="00C81201">
        <w:rPr>
          <w:sz w:val="24"/>
          <w:szCs w:val="24"/>
        </w:rPr>
        <w:t xml:space="preserve">. </w:t>
      </w:r>
      <w:r w:rsidR="0028630F">
        <w:rPr>
          <w:sz w:val="24"/>
          <w:szCs w:val="24"/>
        </w:rPr>
        <w:t xml:space="preserve">Sjokoladen </w:t>
      </w:r>
      <w:r w:rsidR="00C81201">
        <w:rPr>
          <w:sz w:val="24"/>
          <w:szCs w:val="24"/>
        </w:rPr>
        <w:t>Non-Stop eksempel</w:t>
      </w:r>
      <w:r w:rsidR="00125BE8">
        <w:rPr>
          <w:sz w:val="24"/>
          <w:szCs w:val="24"/>
        </w:rPr>
        <w:t>vis</w:t>
      </w:r>
      <w:r w:rsidR="00C81201">
        <w:rPr>
          <w:sz w:val="24"/>
          <w:szCs w:val="24"/>
        </w:rPr>
        <w:t xml:space="preserve"> overset</w:t>
      </w:r>
      <w:r w:rsidR="0028630F">
        <w:rPr>
          <w:sz w:val="24"/>
          <w:szCs w:val="24"/>
        </w:rPr>
        <w:t>tes til «ikke-stop».</w:t>
      </w:r>
      <w:r w:rsidR="00634F71">
        <w:rPr>
          <w:sz w:val="24"/>
          <w:szCs w:val="24"/>
        </w:rPr>
        <w:t xml:space="preserve"> </w:t>
      </w:r>
      <w:r w:rsidR="0028630F">
        <w:rPr>
          <w:sz w:val="24"/>
          <w:szCs w:val="24"/>
        </w:rPr>
        <w:t>Et av de nyere produktene heter «</w:t>
      </w:r>
      <w:r w:rsidR="00634F71">
        <w:rPr>
          <w:sz w:val="24"/>
          <w:szCs w:val="24"/>
        </w:rPr>
        <w:t>Non-Stop melkesjokolade</w:t>
      </w:r>
      <w:r w:rsidR="0028630F">
        <w:rPr>
          <w:sz w:val="24"/>
          <w:szCs w:val="24"/>
        </w:rPr>
        <w:t xml:space="preserve"> linser»,</w:t>
      </w:r>
      <w:r w:rsidR="00634F71">
        <w:rPr>
          <w:sz w:val="24"/>
          <w:szCs w:val="24"/>
        </w:rPr>
        <w:t xml:space="preserve"> veier 225gra</w:t>
      </w:r>
      <w:r w:rsidR="0028630F">
        <w:rPr>
          <w:sz w:val="24"/>
          <w:szCs w:val="24"/>
        </w:rPr>
        <w:t xml:space="preserve">m og inneholder 490kcal per 100 som tilsvarer rundt 1100kcal. </w:t>
      </w:r>
    </w:p>
    <w:p w:rsidR="00D25FB0" w:rsidRDefault="00C81201" w:rsidP="00C81201">
      <w:pPr>
        <w:rPr>
          <w:sz w:val="24"/>
          <w:szCs w:val="24"/>
        </w:rPr>
      </w:pPr>
      <w:r>
        <w:rPr>
          <w:sz w:val="24"/>
          <w:szCs w:val="24"/>
        </w:rPr>
        <w:t xml:space="preserve">Restauranter har blitt beskyldt for å forsterke </w:t>
      </w:r>
      <w:r w:rsidR="005271A8">
        <w:rPr>
          <w:sz w:val="24"/>
          <w:szCs w:val="24"/>
        </w:rPr>
        <w:t>et fedmefremkallende</w:t>
      </w:r>
      <w:r>
        <w:rPr>
          <w:sz w:val="24"/>
          <w:szCs w:val="24"/>
        </w:rPr>
        <w:t xml:space="preserve"> </w:t>
      </w:r>
      <w:r w:rsidR="005271A8">
        <w:rPr>
          <w:sz w:val="24"/>
          <w:szCs w:val="24"/>
        </w:rPr>
        <w:t>miljø</w:t>
      </w:r>
      <w:r>
        <w:rPr>
          <w:sz w:val="24"/>
          <w:szCs w:val="24"/>
        </w:rPr>
        <w:t>.</w:t>
      </w:r>
      <w:r w:rsidR="00125BE8">
        <w:rPr>
          <w:sz w:val="24"/>
          <w:szCs w:val="24"/>
        </w:rPr>
        <w:t xml:space="preserve"> Bildet er a</w:t>
      </w:r>
      <w:r w:rsidR="00B81CBF">
        <w:rPr>
          <w:sz w:val="24"/>
          <w:szCs w:val="24"/>
        </w:rPr>
        <w:t xml:space="preserve">llikevel ikke entydig. Disse kan være </w:t>
      </w:r>
      <w:r w:rsidR="005271A8">
        <w:rPr>
          <w:sz w:val="24"/>
          <w:szCs w:val="24"/>
        </w:rPr>
        <w:t xml:space="preserve">viktig </w:t>
      </w:r>
      <w:r w:rsidR="00125BE8">
        <w:rPr>
          <w:sz w:val="24"/>
          <w:szCs w:val="24"/>
        </w:rPr>
        <w:t>arenaer</w:t>
      </w:r>
      <w:r w:rsidR="005271A8">
        <w:rPr>
          <w:sz w:val="24"/>
          <w:szCs w:val="24"/>
        </w:rPr>
        <w:t xml:space="preserve"> for å forberede kostholdet og </w:t>
      </w:r>
      <w:r>
        <w:rPr>
          <w:sz w:val="24"/>
          <w:szCs w:val="24"/>
        </w:rPr>
        <w:t>øke inntaket av frukt &amp; grønt</w:t>
      </w:r>
      <w:r w:rsidR="00676253">
        <w:rPr>
          <w:sz w:val="24"/>
          <w:szCs w:val="24"/>
        </w:rPr>
        <w:t xml:space="preserve"> </w:t>
      </w:r>
      <w:r w:rsidR="00676253">
        <w:rPr>
          <w:sz w:val="24"/>
          <w:szCs w:val="24"/>
        </w:rPr>
        <w:fldChar w:fldCharType="begin"/>
      </w:r>
      <w:r w:rsidR="00D25FB0">
        <w:rPr>
          <w:sz w:val="24"/>
          <w:szCs w:val="24"/>
        </w:rPr>
        <w:instrText xml:space="preserve"> ADDIN EN.CITE &lt;EndNote&gt;&lt;Cite&gt;&lt;Author&gt;Lake&lt;/Author&gt;&lt;Year&gt;2006&lt;/Year&gt;&lt;RecNum&gt;3&lt;/RecNum&gt;&lt;DisplayText&gt;(Lake &amp;amp; Townshend, 2006)&lt;/DisplayText&gt;&lt;record&gt;&lt;rec-number&gt;3&lt;/rec-number&gt;&lt;foreign-keys&gt;&lt;key app="EN" db-id="advxwpzvq5dxwcerrv159tr9tpaetd992faf" timestamp="1433319295"&gt;3&lt;/key&gt;&lt;/foreign-keys&gt;&lt;ref-type name="Journal Article"&gt;17&lt;/ref-type&gt;&lt;contributors&gt;&lt;authors&gt;&lt;author&gt;Lake, A.&lt;/author&gt;&lt;author&gt;Townshend, T.&lt;/author&gt;&lt;/authors&gt;&lt;/contributors&gt;&lt;auth-address&gt;Newcastle University, School of Clinical and Medical Sciences, Human Nutrition Research Centre, Medical School, William Leech Building, Framlington Place, Newcastle, NE1 4HH, UK. Amelia.lake@ncl.ac.uk&lt;/auth-address&gt;&lt;titles&gt;&lt;title&gt;Obesogenic environments: exploring the built and food environments&lt;/title&gt;&lt;secondary-title&gt;J R Soc Promot Health&lt;/secondary-title&gt;&lt;/titles&gt;&lt;periodical&gt;&lt;full-title&gt;J R Soc Promot Health&lt;/full-title&gt;&lt;/periodical&gt;&lt;pages&gt;262-7&lt;/pages&gt;&lt;volume&gt;126&lt;/volume&gt;&lt;number&gt;6&lt;/number&gt;&lt;edition&gt;2006/12/13&lt;/edition&gt;&lt;keywords&gt;&lt;keyword&gt;Eating/physiology/ psychology&lt;/keyword&gt;&lt;keyword&gt;Environment Design&lt;/keyword&gt;&lt;keyword&gt;Exercise&lt;/keyword&gt;&lt;keyword&gt;Great Britain/epidemiology&lt;/keyword&gt;&lt;keyword&gt;Health Behavior&lt;/keyword&gt;&lt;keyword&gt;Humans&lt;/keyword&gt;&lt;keyword&gt;Life Style&lt;/keyword&gt;&lt;keyword&gt;Obesity/ epidemiology/etiology/prevention &amp;amp; control&lt;/keyword&gt;&lt;keyword&gt;Risk Assessment&lt;/keyword&gt;&lt;keyword&gt;Risk Factors&lt;/keyword&gt;&lt;keyword&gt;Social Environment&lt;/keyword&gt;&lt;/keywords&gt;&lt;dates&gt;&lt;year&gt;2006&lt;/year&gt;&lt;pub-dates&gt;&lt;date&gt;Nov&lt;/date&gt;&lt;/pub-dates&gt;&lt;/dates&gt;&lt;isbn&gt;1466-4240 (Print)&amp;#xD;1466-4240 (Linking)&lt;/isbn&gt;&lt;accession-num&gt;17152319&lt;/accession-num&gt;&lt;urls&gt;&lt;/urls&gt;&lt;remote-database-provider&gt;NLM&lt;/remote-database-provider&gt;&lt;language&gt;eng&lt;/language&gt;&lt;/record&gt;&lt;/Cite&gt;&lt;/EndNote&gt;</w:instrText>
      </w:r>
      <w:r w:rsidR="00676253">
        <w:rPr>
          <w:sz w:val="24"/>
          <w:szCs w:val="24"/>
        </w:rPr>
        <w:fldChar w:fldCharType="separate"/>
      </w:r>
      <w:r w:rsidR="00D25FB0">
        <w:rPr>
          <w:noProof/>
          <w:sz w:val="24"/>
          <w:szCs w:val="24"/>
        </w:rPr>
        <w:t>(Lake &amp; Townshend, 2006)</w:t>
      </w:r>
      <w:r w:rsidR="00676253">
        <w:rPr>
          <w:sz w:val="24"/>
          <w:szCs w:val="24"/>
        </w:rPr>
        <w:fldChar w:fldCharType="end"/>
      </w:r>
      <w:r>
        <w:rPr>
          <w:sz w:val="24"/>
          <w:szCs w:val="24"/>
        </w:rPr>
        <w:t xml:space="preserve">. </w:t>
      </w:r>
    </w:p>
    <w:p w:rsidR="00D25FB0" w:rsidRDefault="005978C7" w:rsidP="00C81201">
      <w:pPr>
        <w:rPr>
          <w:sz w:val="24"/>
          <w:szCs w:val="24"/>
        </w:rPr>
      </w:pPr>
      <w:r>
        <w:rPr>
          <w:sz w:val="24"/>
          <w:szCs w:val="24"/>
        </w:rPr>
        <w:lastRenderedPageBreak/>
        <w:t>Sammenhengen mellom e</w:t>
      </w:r>
      <w:r w:rsidR="005271A8">
        <w:rPr>
          <w:sz w:val="24"/>
          <w:szCs w:val="24"/>
        </w:rPr>
        <w:t xml:space="preserve">ksponeringen fra bostedmiljøet og matmiljøet er ikke </w:t>
      </w:r>
      <w:r w:rsidR="00125BE8">
        <w:rPr>
          <w:sz w:val="24"/>
          <w:szCs w:val="24"/>
        </w:rPr>
        <w:t>helt forstått</w:t>
      </w:r>
      <w:r w:rsidR="00D25FB0">
        <w:rPr>
          <w:sz w:val="24"/>
          <w:szCs w:val="24"/>
        </w:rPr>
        <w:t>. H</w:t>
      </w:r>
      <w:r w:rsidR="005271A8">
        <w:rPr>
          <w:sz w:val="24"/>
          <w:szCs w:val="24"/>
        </w:rPr>
        <w:t xml:space="preserve">urtigmatkjedene </w:t>
      </w:r>
      <w:r w:rsidR="00D25FB0">
        <w:rPr>
          <w:sz w:val="24"/>
          <w:szCs w:val="24"/>
        </w:rPr>
        <w:t xml:space="preserve">har </w:t>
      </w:r>
      <w:r w:rsidR="005271A8">
        <w:rPr>
          <w:sz w:val="24"/>
          <w:szCs w:val="24"/>
        </w:rPr>
        <w:t xml:space="preserve">strategisk tilpasset seg ved å øke tilgangen til raske matløsninger som «drive-in» </w:t>
      </w:r>
      <w:r w:rsidR="00D25FB0">
        <w:rPr>
          <w:sz w:val="24"/>
          <w:szCs w:val="24"/>
        </w:rPr>
        <w:t xml:space="preserve">i </w:t>
      </w:r>
      <w:r w:rsidR="005271A8">
        <w:rPr>
          <w:sz w:val="24"/>
          <w:szCs w:val="24"/>
        </w:rPr>
        <w:t>bostedmiljøer</w:t>
      </w:r>
      <w:r w:rsidR="00D25FB0">
        <w:rPr>
          <w:sz w:val="24"/>
          <w:szCs w:val="24"/>
        </w:rPr>
        <w:t xml:space="preserve"> som gir mer eksponering som resultat for lokalbefolkningen.</w:t>
      </w:r>
    </w:p>
    <w:p w:rsidR="00D25FB0" w:rsidRDefault="00D25FB0" w:rsidP="00C81201">
      <w:pPr>
        <w:rPr>
          <w:sz w:val="24"/>
          <w:szCs w:val="24"/>
        </w:rPr>
      </w:pPr>
      <w:r>
        <w:rPr>
          <w:sz w:val="24"/>
          <w:szCs w:val="24"/>
        </w:rPr>
        <w:t xml:space="preserve">«Walkability» defineres hvorvidt et sted er vennlig å ferdes i. Er området gunstig tyder dette å ha positive effekter for både helse og økonomi. Det vil være av fordel å ha tilgang til parker, lekeplasser, treningssentre, turområder, sykkelveier og andre former som stimulerer til aktivitet i trygge omgivelser. Avstand til matbutikkene og hvor trygt disse sammen med nabolaget er å ferdes spiller også inn. Det er ønskelig med et godt lokalsamhold for å forsterke disse faktorene </w:t>
      </w:r>
      <w:r>
        <w:rPr>
          <w:sz w:val="24"/>
          <w:szCs w:val="24"/>
        </w:rPr>
        <w:fldChar w:fldCharType="begin"/>
      </w:r>
      <w:r>
        <w:rPr>
          <w:sz w:val="24"/>
          <w:szCs w:val="24"/>
        </w:rPr>
        <w:instrText xml:space="preserve"> ADDIN EN.CITE &lt;EndNote&gt;&lt;Cite&gt;&lt;Author&gt;Lake&lt;/Author&gt;&lt;Year&gt;2006&lt;/Year&gt;&lt;RecNum&gt;3&lt;/RecNum&gt;&lt;DisplayText&gt;(Lake &amp;amp; Townshend, 2006)&lt;/DisplayText&gt;&lt;record&gt;&lt;rec-number&gt;3&lt;/rec-number&gt;&lt;foreign-keys&gt;&lt;key app="EN" db-id="advxwpzvq5dxwcerrv159tr9tpaetd992faf" timestamp="1433319295"&gt;3&lt;/key&gt;&lt;/foreign-keys&gt;&lt;ref-type name="Journal Article"&gt;17&lt;/ref-type&gt;&lt;contributors&gt;&lt;authors&gt;&lt;author&gt;Lake, A.&lt;/author&gt;&lt;author&gt;Townshend, T.&lt;/author&gt;&lt;/authors&gt;&lt;/contributors&gt;&lt;auth-address&gt;Newcastle University, School of Clinical and Medical Sciences, Human Nutrition Research Centre, Medical School, William Leech Building, Framlington Place, Newcastle, NE1 4HH, UK. Amelia.lake@ncl.ac.uk&lt;/auth-address&gt;&lt;titles&gt;&lt;title&gt;Obesogenic environments: exploring the built and food environments&lt;/title&gt;&lt;secondary-title&gt;J R Soc Promot Health&lt;/secondary-title&gt;&lt;/titles&gt;&lt;periodical&gt;&lt;full-title&gt;J R Soc Promot Health&lt;/full-title&gt;&lt;/periodical&gt;&lt;pages&gt;262-7&lt;/pages&gt;&lt;volume&gt;126&lt;/volume&gt;&lt;number&gt;6&lt;/number&gt;&lt;edition&gt;2006/12/13&lt;/edition&gt;&lt;keywords&gt;&lt;keyword&gt;Eating/physiology/ psychology&lt;/keyword&gt;&lt;keyword&gt;Environment Design&lt;/keyword&gt;&lt;keyword&gt;Exercise&lt;/keyword&gt;&lt;keyword&gt;Great Britain/epidemiology&lt;/keyword&gt;&lt;keyword&gt;Health Behavior&lt;/keyword&gt;&lt;keyword&gt;Humans&lt;/keyword&gt;&lt;keyword&gt;Life Style&lt;/keyword&gt;&lt;keyword&gt;Obesity/ epidemiology/etiology/prevention &amp;amp; control&lt;/keyword&gt;&lt;keyword&gt;Risk Assessment&lt;/keyword&gt;&lt;keyword&gt;Risk Factors&lt;/keyword&gt;&lt;keyword&gt;Social Environment&lt;/keyword&gt;&lt;/keywords&gt;&lt;dates&gt;&lt;year&gt;2006&lt;/year&gt;&lt;pub-dates&gt;&lt;date&gt;Nov&lt;/date&gt;&lt;/pub-dates&gt;&lt;/dates&gt;&lt;isbn&gt;1466-4240 (Print)&amp;#xD;1466-4240 (Linking)&lt;/isbn&gt;&lt;accession-num&gt;17152319&lt;/accession-num&gt;&lt;urls&gt;&lt;/urls&gt;&lt;remote-database-provider&gt;NLM&lt;/remote-database-provider&gt;&lt;language&gt;eng&lt;/language&gt;&lt;/record&gt;&lt;/Cite&gt;&lt;/EndNote&gt;</w:instrText>
      </w:r>
      <w:r>
        <w:rPr>
          <w:sz w:val="24"/>
          <w:szCs w:val="24"/>
        </w:rPr>
        <w:fldChar w:fldCharType="separate"/>
      </w:r>
      <w:r>
        <w:rPr>
          <w:noProof/>
          <w:sz w:val="24"/>
          <w:szCs w:val="24"/>
        </w:rPr>
        <w:t>(Lake &amp; Townshend, 2006)</w:t>
      </w:r>
      <w:r>
        <w:rPr>
          <w:sz w:val="24"/>
          <w:szCs w:val="24"/>
        </w:rPr>
        <w:fldChar w:fldCharType="end"/>
      </w:r>
      <w:r>
        <w:rPr>
          <w:sz w:val="24"/>
          <w:szCs w:val="24"/>
        </w:rPr>
        <w:t xml:space="preserve">. </w:t>
      </w:r>
    </w:p>
    <w:p w:rsidR="005271A8" w:rsidRDefault="005271A8" w:rsidP="00C81201">
      <w:pPr>
        <w:rPr>
          <w:sz w:val="24"/>
          <w:szCs w:val="24"/>
        </w:rPr>
      </w:pPr>
      <w:r>
        <w:rPr>
          <w:sz w:val="24"/>
          <w:szCs w:val="24"/>
        </w:rPr>
        <w:t xml:space="preserve">Et tverrfaglig samarbeid mellom byplanleggere og relevant helseutdannende for å se om det foreligger et ubrukt potensiale her ettersøkes. </w:t>
      </w:r>
      <w:r w:rsidR="00E178F3">
        <w:rPr>
          <w:sz w:val="24"/>
          <w:szCs w:val="24"/>
        </w:rPr>
        <w:t>Matmiljøet og bosted-miljøet har en rolle, men</w:t>
      </w:r>
      <w:r w:rsidR="00125BE8">
        <w:rPr>
          <w:sz w:val="24"/>
          <w:szCs w:val="24"/>
        </w:rPr>
        <w:t xml:space="preserve"> samlet trengs det</w:t>
      </w:r>
      <w:r w:rsidR="00E178F3">
        <w:rPr>
          <w:sz w:val="24"/>
          <w:szCs w:val="24"/>
        </w:rPr>
        <w:t xml:space="preserve"> mer forskn</w:t>
      </w:r>
      <w:r w:rsidR="00125BE8">
        <w:rPr>
          <w:sz w:val="24"/>
          <w:szCs w:val="24"/>
        </w:rPr>
        <w:t>ing.</w:t>
      </w:r>
      <w:r>
        <w:rPr>
          <w:sz w:val="24"/>
          <w:szCs w:val="24"/>
        </w:rPr>
        <w:t xml:space="preserve"> F</w:t>
      </w:r>
      <w:r w:rsidR="00E178F3">
        <w:rPr>
          <w:sz w:val="24"/>
          <w:szCs w:val="24"/>
        </w:rPr>
        <w:t xml:space="preserve">lere land finner </w:t>
      </w:r>
      <w:r>
        <w:rPr>
          <w:sz w:val="24"/>
          <w:szCs w:val="24"/>
        </w:rPr>
        <w:t xml:space="preserve">her </w:t>
      </w:r>
      <w:r w:rsidR="00E178F3">
        <w:rPr>
          <w:sz w:val="24"/>
          <w:szCs w:val="24"/>
        </w:rPr>
        <w:t>motstridende funn, som i Nord-Amerika og</w:t>
      </w:r>
      <w:r>
        <w:rPr>
          <w:sz w:val="24"/>
          <w:szCs w:val="24"/>
        </w:rPr>
        <w:t xml:space="preserve"> UK</w:t>
      </w:r>
      <w:r w:rsidR="00E178F3">
        <w:rPr>
          <w:sz w:val="24"/>
          <w:szCs w:val="24"/>
        </w:rPr>
        <w:t>.</w:t>
      </w:r>
      <w:r>
        <w:rPr>
          <w:sz w:val="24"/>
          <w:szCs w:val="24"/>
        </w:rPr>
        <w:t xml:space="preserve"> Kulturelle forskjeller mellom disse gjør det ytterlige vanskelig å generalisere </w:t>
      </w:r>
      <w:r>
        <w:rPr>
          <w:sz w:val="24"/>
          <w:szCs w:val="24"/>
        </w:rPr>
        <w:fldChar w:fldCharType="begin"/>
      </w:r>
      <w:r w:rsidR="00D25FB0">
        <w:rPr>
          <w:sz w:val="24"/>
          <w:szCs w:val="24"/>
        </w:rPr>
        <w:instrText xml:space="preserve"> ADDIN EN.CITE &lt;EndNote&gt;&lt;Cite&gt;&lt;Author&gt;Lake&lt;/Author&gt;&lt;Year&gt;2006&lt;/Year&gt;&lt;RecNum&gt;3&lt;/RecNum&gt;&lt;DisplayText&gt;(Lake &amp;amp; Townshend, 2006)&lt;/DisplayText&gt;&lt;record&gt;&lt;rec-number&gt;3&lt;/rec-number&gt;&lt;foreign-keys&gt;&lt;key app="EN" db-id="advxwpzvq5dxwcerrv159tr9tpaetd992faf" timestamp="1433319295"&gt;3&lt;/key&gt;&lt;/foreign-keys&gt;&lt;ref-type name="Journal Article"&gt;17&lt;/ref-type&gt;&lt;contributors&gt;&lt;authors&gt;&lt;author&gt;Lake, A.&lt;/author&gt;&lt;author&gt;Townshend, T.&lt;/author&gt;&lt;/authors&gt;&lt;/contributors&gt;&lt;auth-address&gt;Newcastle University, School of Clinical and Medical Sciences, Human Nutrition Research Centre, Medical School, William Leech Building, Framlington Place, Newcastle, NE1 4HH, UK. Amelia.lake@ncl.ac.uk&lt;/auth-address&gt;&lt;titles&gt;&lt;title&gt;Obesogenic environments: exploring the built and food environments&lt;/title&gt;&lt;secondary-title&gt;J R Soc Promot Health&lt;/secondary-title&gt;&lt;/titles&gt;&lt;periodical&gt;&lt;full-title&gt;J R Soc Promot Health&lt;/full-title&gt;&lt;/periodical&gt;&lt;pages&gt;262-7&lt;/pages&gt;&lt;volume&gt;126&lt;/volume&gt;&lt;number&gt;6&lt;/number&gt;&lt;edition&gt;2006/12/13&lt;/edition&gt;&lt;keywords&gt;&lt;keyword&gt;Eating/physiology/ psychology&lt;/keyword&gt;&lt;keyword&gt;Environment Design&lt;/keyword&gt;&lt;keyword&gt;Exercise&lt;/keyword&gt;&lt;keyword&gt;Great Britain/epidemiology&lt;/keyword&gt;&lt;keyword&gt;Health Behavior&lt;/keyword&gt;&lt;keyword&gt;Humans&lt;/keyword&gt;&lt;keyword&gt;Life Style&lt;/keyword&gt;&lt;keyword&gt;Obesity/ epidemiology/etiology/prevention &amp;amp; control&lt;/keyword&gt;&lt;keyword&gt;Risk Assessment&lt;/keyword&gt;&lt;keyword&gt;Risk Factors&lt;/keyword&gt;&lt;keyword&gt;Social Environment&lt;/keyword&gt;&lt;/keywords&gt;&lt;dates&gt;&lt;year&gt;2006&lt;/year&gt;&lt;pub-dates&gt;&lt;date&gt;Nov&lt;/date&gt;&lt;/pub-dates&gt;&lt;/dates&gt;&lt;isbn&gt;1466-4240 (Print)&amp;#xD;1466-4240 (Linking)&lt;/isbn&gt;&lt;accession-num&gt;17152319&lt;/accession-num&gt;&lt;urls&gt;&lt;/urls&gt;&lt;remote-database-provider&gt;NLM&lt;/remote-database-provider&gt;&lt;language&gt;eng&lt;/language&gt;&lt;/record&gt;&lt;/Cite&gt;&lt;/EndNote&gt;</w:instrText>
      </w:r>
      <w:r>
        <w:rPr>
          <w:sz w:val="24"/>
          <w:szCs w:val="24"/>
        </w:rPr>
        <w:fldChar w:fldCharType="separate"/>
      </w:r>
      <w:r w:rsidR="00D25FB0">
        <w:rPr>
          <w:noProof/>
          <w:sz w:val="24"/>
          <w:szCs w:val="24"/>
        </w:rPr>
        <w:t>(Lake &amp; Townshend, 2006)</w:t>
      </w:r>
      <w:r>
        <w:rPr>
          <w:sz w:val="24"/>
          <w:szCs w:val="24"/>
        </w:rPr>
        <w:fldChar w:fldCharType="end"/>
      </w:r>
      <w:r>
        <w:rPr>
          <w:sz w:val="24"/>
          <w:szCs w:val="24"/>
        </w:rPr>
        <w:t>.</w:t>
      </w:r>
    </w:p>
    <w:p w:rsidR="00C81201" w:rsidRPr="005271A8" w:rsidRDefault="005271A8" w:rsidP="00C81201">
      <w:pPr>
        <w:rPr>
          <w:sz w:val="24"/>
          <w:szCs w:val="24"/>
        </w:rPr>
      </w:pPr>
      <w:r>
        <w:rPr>
          <w:sz w:val="24"/>
          <w:szCs w:val="24"/>
        </w:rPr>
        <w:t>Skolen er et plattform som bør fremme gunstige matvaner. I Norge har det vært press på å fjerne blant annet brusautomater og å hovedsakelig tilby vann som drikke. I</w:t>
      </w:r>
      <w:r w:rsidR="00C81201">
        <w:rPr>
          <w:sz w:val="24"/>
          <w:szCs w:val="24"/>
        </w:rPr>
        <w:t xml:space="preserve"> UK og i New Zealand har det blitt vist at skolen domineres av usunne matvarer. Dette gjør det mer utfordrende å ta gode valg </w:t>
      </w:r>
      <w:r w:rsidR="00C81201">
        <w:rPr>
          <w:sz w:val="24"/>
          <w:szCs w:val="24"/>
        </w:rPr>
        <w:fldChar w:fldCharType="begin"/>
      </w:r>
      <w:r w:rsidR="00D25FB0">
        <w:rPr>
          <w:sz w:val="24"/>
          <w:szCs w:val="24"/>
        </w:rPr>
        <w:instrText xml:space="preserve"> ADDIN EN.CITE &lt;EndNote&gt;&lt;Cite&gt;&lt;Author&gt;Lake&lt;/Author&gt;&lt;Year&gt;2006&lt;/Year&gt;&lt;RecNum&gt;3&lt;/RecNum&gt;&lt;DisplayText&gt;(Lake &amp;amp; Townshend, 2006)&lt;/DisplayText&gt;&lt;record&gt;&lt;rec-number&gt;3&lt;/rec-number&gt;&lt;foreign-keys&gt;&lt;key app="EN" db-id="advxwpzvq5dxwcerrv159tr9tpaetd992faf" timestamp="1433319295"&gt;3&lt;/key&gt;&lt;/foreign-keys&gt;&lt;ref-type name="Journal Article"&gt;17&lt;/ref-type&gt;&lt;contributors&gt;&lt;authors&gt;&lt;author&gt;Lake, A.&lt;/author&gt;&lt;author&gt;Townshend, T.&lt;/author&gt;&lt;/authors&gt;&lt;/contributors&gt;&lt;auth-address&gt;Newcastle University, School of Clinical and Medical Sciences, Human Nutrition Research Centre, Medical School, William Leech Building, Framlington Place, Newcastle, NE1 4HH, UK. Amelia.lake@ncl.ac.uk&lt;/auth-address&gt;&lt;titles&gt;&lt;title&gt;Obesogenic environments: exploring the built and food environments&lt;/title&gt;&lt;secondary-title&gt;J R Soc Promot Health&lt;/secondary-title&gt;&lt;/titles&gt;&lt;periodical&gt;&lt;full-title&gt;J R Soc Promot Health&lt;/full-title&gt;&lt;/periodical&gt;&lt;pages&gt;262-7&lt;/pages&gt;&lt;volume&gt;126&lt;/volume&gt;&lt;number&gt;6&lt;/number&gt;&lt;edition&gt;2006/12/13&lt;/edition&gt;&lt;keywords&gt;&lt;keyword&gt;Eating/physiology/ psychology&lt;/keyword&gt;&lt;keyword&gt;Environment Design&lt;/keyword&gt;&lt;keyword&gt;Exercise&lt;/keyword&gt;&lt;keyword&gt;Great Britain/epidemiology&lt;/keyword&gt;&lt;keyword&gt;Health Behavior&lt;/keyword&gt;&lt;keyword&gt;Humans&lt;/keyword&gt;&lt;keyword&gt;Life Style&lt;/keyword&gt;&lt;keyword&gt;Obesity/ epidemiology/etiology/prevention &amp;amp; control&lt;/keyword&gt;&lt;keyword&gt;Risk Assessment&lt;/keyword&gt;&lt;keyword&gt;Risk Factors&lt;/keyword&gt;&lt;keyword&gt;Social Environment&lt;/keyword&gt;&lt;/keywords&gt;&lt;dates&gt;&lt;year&gt;2006&lt;/year&gt;&lt;pub-dates&gt;&lt;date&gt;Nov&lt;/date&gt;&lt;/pub-dates&gt;&lt;/dates&gt;&lt;isbn&gt;1466-4240 (Print)&amp;#xD;1466-4240 (Linking)&lt;/isbn&gt;&lt;accession-num&gt;17152319&lt;/accession-num&gt;&lt;urls&gt;&lt;/urls&gt;&lt;remote-database-provider&gt;NLM&lt;/remote-database-provider&gt;&lt;language&gt;eng&lt;/language&gt;&lt;/record&gt;&lt;/Cite&gt;&lt;/EndNote&gt;</w:instrText>
      </w:r>
      <w:r w:rsidR="00C81201">
        <w:rPr>
          <w:sz w:val="24"/>
          <w:szCs w:val="24"/>
        </w:rPr>
        <w:fldChar w:fldCharType="separate"/>
      </w:r>
      <w:r w:rsidR="00D25FB0">
        <w:rPr>
          <w:noProof/>
          <w:sz w:val="24"/>
          <w:szCs w:val="24"/>
        </w:rPr>
        <w:t>(Lake &amp; Townshend, 2006)</w:t>
      </w:r>
      <w:r w:rsidR="00C81201">
        <w:rPr>
          <w:sz w:val="24"/>
          <w:szCs w:val="24"/>
        </w:rPr>
        <w:fldChar w:fldCharType="end"/>
      </w:r>
      <w:r w:rsidR="00C81201">
        <w:rPr>
          <w:sz w:val="24"/>
          <w:szCs w:val="24"/>
        </w:rPr>
        <w:t>.</w:t>
      </w:r>
    </w:p>
    <w:p w:rsidR="00E178F3" w:rsidRDefault="00D25FB0" w:rsidP="00F2599D">
      <w:pPr>
        <w:rPr>
          <w:sz w:val="24"/>
          <w:szCs w:val="24"/>
        </w:rPr>
      </w:pPr>
      <w:r>
        <w:rPr>
          <w:sz w:val="24"/>
          <w:szCs w:val="24"/>
        </w:rPr>
        <w:t>I</w:t>
      </w:r>
      <w:r w:rsidR="00052FDB">
        <w:rPr>
          <w:sz w:val="24"/>
          <w:szCs w:val="24"/>
        </w:rPr>
        <w:t xml:space="preserve">ndividuell genetikk er en faktor og noen undergrupper kan ha en genetisk predisposisjon for å utvikle overvekt </w:t>
      </w:r>
      <w:r w:rsidR="00052FDB">
        <w:rPr>
          <w:sz w:val="24"/>
          <w:szCs w:val="24"/>
        </w:rPr>
        <w:fldChar w:fldCharType="begin"/>
      </w:r>
      <w:r w:rsidR="00E933E0">
        <w:rPr>
          <w:sz w:val="24"/>
          <w:szCs w:val="24"/>
        </w:rPr>
        <w:instrText xml:space="preserve"> ADDIN EN.CITE &lt;EndNote&gt;&lt;Cite&gt;&lt;Author&gt;Folkehelseinsuttittet&lt;/Author&gt;&lt;Year&gt;2014&lt;/Year&gt;&lt;RecNum&gt;10&lt;/RecNum&gt;&lt;DisplayText&gt;(Folkehelseinsuttittet, 2014)&lt;/DisplayText&gt;&lt;record&gt;&lt;rec-number&gt;10&lt;/rec-number&gt;&lt;foreign-keys&gt;&lt;key app="EN" db-id="advxwpzvq5dxwcerrv159tr9tpaetd992faf" timestamp="1433337438"&gt;10&lt;/key&gt;&lt;/foreign-keys&gt;&lt;ref-type name="Web Page"&gt;12&lt;/ref-type&gt;&lt;contributors&gt;&lt;authors&gt;&lt;author&gt;Folkehelseinsuttittet&lt;/author&gt;&lt;/authors&gt;&lt;/contributors&gt;&lt;titles&gt;&lt;title&gt;Overvekt og fedme - Folkehelserapporten 2014&lt;/title&gt;&lt;/titles&gt;&lt;number&gt;03.06.2015&lt;/number&gt;&lt;dates&gt;&lt;year&gt;2014&lt;/year&gt;&lt;pub-dates&gt;&lt;date&gt;09.04.2015&lt;/date&gt;&lt;/pub-dates&gt;&lt;/dates&gt;&lt;urls&gt;&lt;related-urls&gt;&lt;url&gt;http://www.fhi.no/artikler/?id=110553&lt;/url&gt;&lt;/related-urls&gt;&lt;/urls&gt;&lt;/record&gt;&lt;/Cite&gt;&lt;/EndNote&gt;</w:instrText>
      </w:r>
      <w:r w:rsidR="00052FDB">
        <w:rPr>
          <w:sz w:val="24"/>
          <w:szCs w:val="24"/>
        </w:rPr>
        <w:fldChar w:fldCharType="separate"/>
      </w:r>
      <w:r w:rsidR="00052FDB">
        <w:rPr>
          <w:noProof/>
          <w:sz w:val="24"/>
          <w:szCs w:val="24"/>
        </w:rPr>
        <w:t>(Folkehelseinsuttittet, 2014)</w:t>
      </w:r>
      <w:r w:rsidR="00052FDB">
        <w:rPr>
          <w:sz w:val="24"/>
          <w:szCs w:val="24"/>
        </w:rPr>
        <w:fldChar w:fldCharType="end"/>
      </w:r>
      <w:r w:rsidR="00052FDB">
        <w:rPr>
          <w:sz w:val="24"/>
          <w:szCs w:val="24"/>
        </w:rPr>
        <w:t>. Et eksempel på en genetisk faktor er ikke-vestlige innvandrergrupper som kan ha et mindre aktivitet i genet som koder for spyttenzymet amy-1. Denne på</w:t>
      </w:r>
      <w:r>
        <w:rPr>
          <w:sz w:val="24"/>
          <w:szCs w:val="24"/>
        </w:rPr>
        <w:t xml:space="preserve">virker metabolismen av glukose. </w:t>
      </w:r>
      <w:r w:rsidR="00052FDB">
        <w:rPr>
          <w:sz w:val="24"/>
          <w:szCs w:val="24"/>
        </w:rPr>
        <w:t xml:space="preserve">Årsaken kan være «programmering» i det miljøet disse kommer ifra. Denne egenskapen kan gå i arv hos barna som dermed blir født i et mer «ugunstig miljø» </w:t>
      </w:r>
      <w:r w:rsidR="00052FDB">
        <w:rPr>
          <w:sz w:val="24"/>
          <w:szCs w:val="24"/>
        </w:rPr>
        <w:fldChar w:fldCharType="begin"/>
      </w:r>
      <w:r w:rsidR="00052FDB">
        <w:rPr>
          <w:sz w:val="24"/>
          <w:szCs w:val="24"/>
        </w:rPr>
        <w:instrText xml:space="preserve"> ADDIN EN.CITE &lt;EndNote&gt;&lt;Cite&gt;&lt;Author&gt;Mandel&lt;/Author&gt;&lt;Year&gt;2012&lt;/Year&gt;&lt;RecNum&gt;11&lt;/RecNum&gt;&lt;DisplayText&gt;(Mandel &amp;amp; Breslin, 2012)&lt;/DisplayText&gt;&lt;record&gt;&lt;rec-number&gt;11&lt;/rec-number&gt;&lt;foreign-keys&gt;&lt;key app="EN" db-id="advxwpzvq5dxwcerrv159tr9tpaetd992faf" timestamp="1433341633"&gt;11&lt;/key&gt;&lt;/foreign-keys&gt;&lt;ref-type name="Journal Article"&gt;17&lt;/ref-type&gt;&lt;contributors&gt;&lt;authors&gt;&lt;author&gt;Mandel, A. L.&lt;/author&gt;&lt;author&gt;Breslin, P. A.&lt;/author&gt;&lt;/authors&gt;&lt;/contributors&gt;&lt;auth-address&gt;Monell Chemical Senses Center, Philadelphia, PA, USA.&lt;/auth-address&gt;&lt;titles&gt;&lt;title&gt;High endogenous salivary amylase activity is associated with improved glycemic homeostasis following starch ingestion in adults&lt;/title&gt;&lt;secondary-title&gt;J Nutr&lt;/secondary-title&gt;&lt;/titles&gt;&lt;periodical&gt;&lt;full-title&gt;J Nutr&lt;/full-title&gt;&lt;/periodical&gt;&lt;pages&gt;853-8&lt;/pages&gt;&lt;volume&gt;142&lt;/volume&gt;&lt;number&gt;5&lt;/number&gt;&lt;edition&gt;2012/04/12&lt;/edition&gt;&lt;keywords&gt;&lt;keyword&gt;Adaptation, Physiological/physiology&lt;/keyword&gt;&lt;keyword&gt;Adult&lt;/keyword&gt;&lt;keyword&gt;Blood Glucose/metabolism&lt;/keyword&gt;&lt;keyword&gt;Diabetes Mellitus, Type 2/epidemiology/genetics/metabolism&lt;/keyword&gt;&lt;keyword&gt;Dietary Carbohydrates/administration &amp;amp; dosage&lt;/keyword&gt;&lt;keyword&gt;Female&lt;/keyword&gt;&lt;keyword&gt;Glycemic Index/ physiology&lt;/keyword&gt;&lt;keyword&gt;Homeostasis/physiology&lt;/keyword&gt;&lt;keyword&gt;Humans&lt;/keyword&gt;&lt;keyword&gt;Hyperglycemia/epidemiology/genetics/ metabolism&lt;/keyword&gt;&lt;keyword&gt;Insulin/blood&lt;/keyword&gt;&lt;keyword&gt;Insulin Resistance/physiology&lt;/keyword&gt;&lt;keyword&gt;Male&lt;/keyword&gt;&lt;keyword&gt;Risk Factors&lt;/keyword&gt;&lt;keyword&gt;Saliva/ enzymology&lt;/keyword&gt;&lt;keyword&gt;Salivary alpha-Amylases/genetics/ metabolism&lt;/keyword&gt;&lt;keyword&gt;Starch/ administration &amp;amp; dosage&lt;/keyword&gt;&lt;/keywords&gt;&lt;dates&gt;&lt;year&gt;2012&lt;/year&gt;&lt;pub-dates&gt;&lt;date&gt;May&lt;/date&gt;&lt;/pub-dates&gt;&lt;/dates&gt;&lt;isbn&gt;1541-6100 (Electronic)&amp;#xD;0022-3166 (Linking)&lt;/isbn&gt;&lt;accession-num&gt;22492122&lt;/accession-num&gt;&lt;urls&gt;&lt;/urls&gt;&lt;custom2&gt;PMC3327743&lt;/custom2&gt;&lt;electronic-resource-num&gt;10.3945/jn.111.156984&lt;/electronic-resource-num&gt;&lt;remote-database-provider&gt;NLM&lt;/remote-database-provider&gt;&lt;language&gt;eng&lt;/language&gt;&lt;/record&gt;&lt;/Cite&gt;&lt;/EndNote&gt;</w:instrText>
      </w:r>
      <w:r w:rsidR="00052FDB">
        <w:rPr>
          <w:sz w:val="24"/>
          <w:szCs w:val="24"/>
        </w:rPr>
        <w:fldChar w:fldCharType="separate"/>
      </w:r>
      <w:r w:rsidR="00052FDB">
        <w:rPr>
          <w:noProof/>
          <w:sz w:val="24"/>
          <w:szCs w:val="24"/>
        </w:rPr>
        <w:t>(Mandel &amp; Breslin, 2012)</w:t>
      </w:r>
      <w:r w:rsidR="00052FDB">
        <w:rPr>
          <w:sz w:val="24"/>
          <w:szCs w:val="24"/>
        </w:rPr>
        <w:fldChar w:fldCharType="end"/>
      </w:r>
      <w:r w:rsidR="00052FDB">
        <w:rPr>
          <w:sz w:val="24"/>
          <w:szCs w:val="24"/>
        </w:rPr>
        <w:t xml:space="preserve">. </w:t>
      </w:r>
      <w:r w:rsidR="00EB5835">
        <w:rPr>
          <w:sz w:val="24"/>
          <w:szCs w:val="24"/>
        </w:rPr>
        <w:br/>
      </w:r>
      <w:r w:rsidR="00EB5835">
        <w:rPr>
          <w:sz w:val="24"/>
          <w:szCs w:val="24"/>
        </w:rPr>
        <w:br/>
      </w:r>
      <w:r w:rsidR="00052FDB">
        <w:rPr>
          <w:sz w:val="24"/>
          <w:szCs w:val="24"/>
        </w:rPr>
        <w:t>Til tross for dette er det hovedsakelig komb</w:t>
      </w:r>
      <w:r>
        <w:rPr>
          <w:sz w:val="24"/>
          <w:szCs w:val="24"/>
        </w:rPr>
        <w:t>inasjonen å være fysisk inaktiv</w:t>
      </w:r>
      <w:r w:rsidR="00052FDB">
        <w:rPr>
          <w:sz w:val="24"/>
          <w:szCs w:val="24"/>
        </w:rPr>
        <w:t xml:space="preserve"> og overskudd</w:t>
      </w:r>
      <w:r>
        <w:rPr>
          <w:sz w:val="24"/>
          <w:szCs w:val="24"/>
        </w:rPr>
        <w:t xml:space="preserve"> av energi som bidrar til en negativ utvikling.</w:t>
      </w:r>
      <w:r w:rsidR="00052FDB">
        <w:rPr>
          <w:sz w:val="24"/>
          <w:szCs w:val="24"/>
        </w:rPr>
        <w:t xml:space="preserve"> Vi lever i et samfunn som leg</w:t>
      </w:r>
      <w:r w:rsidR="005271A8">
        <w:rPr>
          <w:sz w:val="24"/>
          <w:szCs w:val="24"/>
        </w:rPr>
        <w:t>ger forholdende til rette for å bo</w:t>
      </w:r>
      <w:r w:rsidR="00052FDB">
        <w:rPr>
          <w:sz w:val="24"/>
          <w:szCs w:val="24"/>
        </w:rPr>
        <w:t xml:space="preserve"> i et inaktivt miljø og ha</w:t>
      </w:r>
      <w:r w:rsidR="00F41E20">
        <w:rPr>
          <w:sz w:val="24"/>
          <w:szCs w:val="24"/>
        </w:rPr>
        <w:t>r ofte</w:t>
      </w:r>
      <w:r w:rsidR="00052FDB">
        <w:rPr>
          <w:sz w:val="24"/>
          <w:szCs w:val="24"/>
        </w:rPr>
        <w:t xml:space="preserve"> tilgang til energirike matvarer</w:t>
      </w:r>
      <w:r w:rsidR="00F41D3C">
        <w:rPr>
          <w:sz w:val="24"/>
          <w:szCs w:val="24"/>
        </w:rPr>
        <w:t xml:space="preserve">. </w:t>
      </w:r>
      <w:r w:rsidR="00052FDB">
        <w:rPr>
          <w:sz w:val="24"/>
          <w:szCs w:val="24"/>
        </w:rPr>
        <w:fldChar w:fldCharType="begin"/>
      </w:r>
      <w:r w:rsidR="00E933E0">
        <w:rPr>
          <w:sz w:val="24"/>
          <w:szCs w:val="24"/>
        </w:rPr>
        <w:instrText xml:space="preserve"> ADDIN EN.CITE &lt;EndNote&gt;&lt;Cite&gt;&lt;Author&gt;Folkehelseinsuttittet&lt;/Author&gt;&lt;Year&gt;2014&lt;/Year&gt;&lt;RecNum&gt;10&lt;/RecNum&gt;&lt;DisplayText&gt;(Folkehelseinsuttittet, 2014)&lt;/DisplayText&gt;&lt;record&gt;&lt;rec-number&gt;10&lt;/rec-number&gt;&lt;foreign-keys&gt;&lt;key app="EN" db-id="advxwpzvq5dxwcerrv159tr9tpaetd992faf" timestamp="1433337438"&gt;10&lt;/key&gt;&lt;/foreign-keys&gt;&lt;ref-type name="Web Page"&gt;12&lt;/ref-type&gt;&lt;contributors&gt;&lt;authors&gt;&lt;author&gt;Folkehelseinsuttittet&lt;/author&gt;&lt;/authors&gt;&lt;/contributors&gt;&lt;titles&gt;&lt;title&gt;Overvekt og fedme - Folkehelserapporten 2014&lt;/title&gt;&lt;/titles&gt;&lt;number&gt;03.06.2015&lt;/number&gt;&lt;dates&gt;&lt;year&gt;2014&lt;/year&gt;&lt;pub-dates&gt;&lt;date&gt;09.04.2015&lt;/date&gt;&lt;/pub-dates&gt;&lt;/dates&gt;&lt;urls&gt;&lt;related-urls&gt;&lt;url&gt;http://www.fhi.no/artikler/?id=110553&lt;/url&gt;&lt;/related-urls&gt;&lt;/urls&gt;&lt;/record&gt;&lt;/Cite&gt;&lt;/EndNote&gt;</w:instrText>
      </w:r>
      <w:r w:rsidR="00052FDB">
        <w:rPr>
          <w:sz w:val="24"/>
          <w:szCs w:val="24"/>
        </w:rPr>
        <w:fldChar w:fldCharType="separate"/>
      </w:r>
      <w:r w:rsidR="00052FDB">
        <w:rPr>
          <w:noProof/>
          <w:sz w:val="24"/>
          <w:szCs w:val="24"/>
        </w:rPr>
        <w:t>(Folkehelseinsuttittet, 2014)</w:t>
      </w:r>
      <w:r w:rsidR="00052FDB">
        <w:rPr>
          <w:sz w:val="24"/>
          <w:szCs w:val="24"/>
        </w:rPr>
        <w:fldChar w:fldCharType="end"/>
      </w:r>
      <w:r w:rsidR="00052FDB">
        <w:rPr>
          <w:sz w:val="24"/>
          <w:szCs w:val="24"/>
        </w:rPr>
        <w:t>.</w:t>
      </w:r>
      <w:r>
        <w:rPr>
          <w:sz w:val="24"/>
          <w:szCs w:val="24"/>
        </w:rPr>
        <w:t xml:space="preserve"> En må </w:t>
      </w:r>
      <w:r w:rsidR="00F41D3C">
        <w:rPr>
          <w:sz w:val="24"/>
          <w:szCs w:val="24"/>
        </w:rPr>
        <w:t>ikke se seg blind på en av di</w:t>
      </w:r>
      <w:r>
        <w:rPr>
          <w:sz w:val="24"/>
          <w:szCs w:val="24"/>
        </w:rPr>
        <w:t>sse faktorene alene, men å se</w:t>
      </w:r>
      <w:r w:rsidR="00F41D3C">
        <w:rPr>
          <w:sz w:val="24"/>
          <w:szCs w:val="24"/>
        </w:rPr>
        <w:t xml:space="preserve"> dette i sammenheng med hva som fre</w:t>
      </w:r>
      <w:r>
        <w:rPr>
          <w:sz w:val="24"/>
          <w:szCs w:val="24"/>
        </w:rPr>
        <w:t>mmer både inaktivitet og inntak av usunn</w:t>
      </w:r>
      <w:r w:rsidR="00F41D3C">
        <w:rPr>
          <w:sz w:val="24"/>
          <w:szCs w:val="24"/>
        </w:rPr>
        <w:t xml:space="preserve"> mat.</w:t>
      </w:r>
    </w:p>
    <w:p w:rsidR="008C24B2" w:rsidRPr="00D10EB0" w:rsidRDefault="00F41E20" w:rsidP="008C24B2">
      <w:pPr>
        <w:pStyle w:val="Overskrift2"/>
        <w:rPr>
          <w:color w:val="1F4E79" w:themeColor="accent1" w:themeShade="80"/>
        </w:rPr>
      </w:pPr>
      <w:bookmarkStart w:id="4" w:name="_Toc421263272"/>
      <w:r w:rsidRPr="00D10EB0">
        <w:rPr>
          <w:color w:val="1F4E79" w:themeColor="accent1" w:themeShade="80"/>
        </w:rPr>
        <w:t>S</w:t>
      </w:r>
      <w:r w:rsidR="008C24B2" w:rsidRPr="00D10EB0">
        <w:rPr>
          <w:color w:val="1F4E79" w:themeColor="accent1" w:themeShade="80"/>
        </w:rPr>
        <w:t>osiale ulikheter</w:t>
      </w:r>
      <w:r w:rsidRPr="00D10EB0">
        <w:rPr>
          <w:color w:val="1F4E79" w:themeColor="accent1" w:themeShade="80"/>
        </w:rPr>
        <w:t xml:space="preserve"> og folkehelse</w:t>
      </w:r>
      <w:bookmarkEnd w:id="4"/>
    </w:p>
    <w:p w:rsidR="005271A8" w:rsidRDefault="008C24B2" w:rsidP="008C24B2">
      <w:pPr>
        <w:rPr>
          <w:sz w:val="24"/>
          <w:szCs w:val="24"/>
        </w:rPr>
      </w:pPr>
      <w:r>
        <w:rPr>
          <w:sz w:val="24"/>
          <w:szCs w:val="24"/>
        </w:rPr>
        <w:t xml:space="preserve">Den sosiale gradienten deler inn personer etter inntekt, utdanning og jobb. Deretter sammenlignes disse. Forventet levealder for begge kjønn </w:t>
      </w:r>
      <w:r w:rsidR="005978C7">
        <w:rPr>
          <w:sz w:val="24"/>
          <w:szCs w:val="24"/>
        </w:rPr>
        <w:t>øker i takt med høyere</w:t>
      </w:r>
      <w:r>
        <w:rPr>
          <w:sz w:val="24"/>
          <w:szCs w:val="24"/>
        </w:rPr>
        <w:t xml:space="preserve"> utdanningsnivå</w:t>
      </w:r>
      <w:r w:rsidR="00D25FB0">
        <w:rPr>
          <w:sz w:val="24"/>
          <w:szCs w:val="24"/>
        </w:rPr>
        <w:t xml:space="preserve"> og lønn</w:t>
      </w:r>
      <w:r>
        <w:rPr>
          <w:sz w:val="24"/>
          <w:szCs w:val="24"/>
        </w:rPr>
        <w:t xml:space="preserve"> </w:t>
      </w:r>
      <w:r>
        <w:rPr>
          <w:sz w:val="24"/>
          <w:szCs w:val="24"/>
        </w:rPr>
        <w:fldChar w:fldCharType="begin"/>
      </w:r>
      <w:r>
        <w:rPr>
          <w:sz w:val="24"/>
          <w:szCs w:val="24"/>
        </w:rPr>
        <w:instrText xml:space="preserve"> ADDIN EN.CITE &lt;EndNote&gt;&lt;Cite&gt;&lt;Author&gt;Dahl&lt;/Author&gt;&lt;Year&gt;2014&lt;/Year&gt;&lt;RecNum&gt;20&lt;/RecNum&gt;&lt;DisplayText&gt;(Dahl, Bergsli, &amp;amp; van der Wel, 2014)&lt;/DisplayText&gt;&lt;record&gt;&lt;rec-number&gt;20&lt;/rec-number&gt;&lt;foreign-keys&gt;&lt;key app="EN" db-id="advxwpzvq5dxwcerrv159tr9tpaetd992faf" timestamp="1433404494"&gt;20&lt;/key&gt;&lt;/foreign-keys&gt;&lt;ref-type name="Journal Article"&gt;17&lt;/ref-type&gt;&lt;contributors&gt;&lt;authors&gt;&lt;author&gt;Dahl, Espen&lt;/author&gt;&lt;author&gt;Bergsli, H&lt;/author&gt;&lt;author&gt;van der Wel, KA&lt;/author&gt;&lt;/authors&gt;&lt;/contributors&gt;&lt;titles&gt;&lt;title&gt;Sosial ulikhet i helse: En norsk kunnskapsoversikt&lt;/title&gt;&lt;secondary-title&gt;Oslo: Høgskolen i Oslo og Akershus, Fakultet for samfunnsfag/Sosialforsk&lt;/secondary-title&gt;&lt;/titles&gt;&lt;periodical&gt;&lt;full-title&gt;Oslo: Høgskolen i Oslo og Akershus, Fakultet for samfunnsfag/Sosialforsk&lt;/full-title&gt;&lt;/periodical&gt;&lt;dates&gt;&lt;year&gt;2014&lt;/year&gt;&lt;/dates&gt;&lt;urls&gt;&lt;/urls&gt;&lt;/record&gt;&lt;/Cite&gt;&lt;/EndNote&gt;</w:instrText>
      </w:r>
      <w:r>
        <w:rPr>
          <w:sz w:val="24"/>
          <w:szCs w:val="24"/>
        </w:rPr>
        <w:fldChar w:fldCharType="separate"/>
      </w:r>
      <w:r>
        <w:rPr>
          <w:noProof/>
          <w:sz w:val="24"/>
          <w:szCs w:val="24"/>
        </w:rPr>
        <w:t>(Dahl, Bergsli, &amp; van der Wel, 2014)</w:t>
      </w:r>
      <w:r>
        <w:rPr>
          <w:sz w:val="24"/>
          <w:szCs w:val="24"/>
        </w:rPr>
        <w:fldChar w:fldCharType="end"/>
      </w:r>
      <w:r>
        <w:rPr>
          <w:sz w:val="24"/>
          <w:szCs w:val="24"/>
        </w:rPr>
        <w:t xml:space="preserve">.  </w:t>
      </w:r>
      <w:r>
        <w:rPr>
          <w:sz w:val="24"/>
          <w:szCs w:val="24"/>
        </w:rPr>
        <w:br/>
      </w:r>
      <w:r>
        <w:rPr>
          <w:sz w:val="24"/>
          <w:szCs w:val="24"/>
        </w:rPr>
        <w:br/>
        <w:t xml:space="preserve">Sosial ulikhet gir et levekårsproblem og </w:t>
      </w:r>
      <w:r w:rsidR="005D2084">
        <w:rPr>
          <w:sz w:val="24"/>
          <w:szCs w:val="24"/>
        </w:rPr>
        <w:t>er både et folkehelse- så vel som et samfunnsøkonomisk problem. Det fulle potensialet forhindres og grupper med lavere hierarkisk posisjon vi</w:t>
      </w:r>
      <w:r w:rsidR="005978C7">
        <w:rPr>
          <w:sz w:val="24"/>
          <w:szCs w:val="24"/>
        </w:rPr>
        <w:t>l få verre utgangspunkt for å få et adekvat liv. Sosiale ulikheter</w:t>
      </w:r>
      <w:r w:rsidR="005D2084">
        <w:rPr>
          <w:sz w:val="24"/>
          <w:szCs w:val="24"/>
        </w:rPr>
        <w:t xml:space="preserve"> gir verre muligheter for disse å realisere sine livsmål og er å anse som urettferdig. Dette er også en utfordring for verdiskapning og offentlige utgifter som</w:t>
      </w:r>
      <w:r w:rsidR="005978C7">
        <w:rPr>
          <w:sz w:val="24"/>
          <w:szCs w:val="24"/>
        </w:rPr>
        <w:t xml:space="preserve"> slikt</w:t>
      </w:r>
      <w:r w:rsidR="005D2084">
        <w:rPr>
          <w:sz w:val="24"/>
          <w:szCs w:val="24"/>
        </w:rPr>
        <w:t xml:space="preserve"> legger press på velferdsstatens økonomiske bærekraft </w:t>
      </w:r>
      <w:r w:rsidR="00676253">
        <w:rPr>
          <w:sz w:val="24"/>
          <w:szCs w:val="24"/>
        </w:rPr>
        <w:fldChar w:fldCharType="begin"/>
      </w:r>
      <w:r w:rsidR="00676253">
        <w:rPr>
          <w:sz w:val="24"/>
          <w:szCs w:val="24"/>
        </w:rPr>
        <w:instrText xml:space="preserve"> ADDIN EN.CITE &lt;EndNote&gt;&lt;Cite&gt;&lt;Author&gt;Dahl&lt;/Author&gt;&lt;Year&gt;2014&lt;/Year&gt;&lt;RecNum&gt;20&lt;/RecNum&gt;&lt;DisplayText&gt;(Dahl et al., 2014)&lt;/DisplayText&gt;&lt;record&gt;&lt;rec-number&gt;20&lt;/rec-number&gt;&lt;foreign-keys&gt;&lt;key app="EN" db-id="advxwpzvq5dxwcerrv159tr9tpaetd992faf" timestamp="1433404494"&gt;20&lt;/key&gt;&lt;/foreign-keys&gt;&lt;ref-type name="Journal Article"&gt;17&lt;/ref-type&gt;&lt;contributors&gt;&lt;authors&gt;&lt;author&gt;Dahl, Espen&lt;/author&gt;&lt;author&gt;Bergsli, H&lt;/author&gt;&lt;author&gt;van der Wel, KA&lt;/author&gt;&lt;/authors&gt;&lt;/contributors&gt;&lt;titles&gt;&lt;title&gt;Sosial ulikhet i helse: En norsk kunnskapsoversikt&lt;/title&gt;&lt;secondary-title&gt;Oslo: Høgskolen i Oslo og Akershus, Fakultet for samfunnsfag/Sosialforsk&lt;/secondary-title&gt;&lt;/titles&gt;&lt;periodical&gt;&lt;full-title&gt;Oslo: Høgskolen i Oslo og Akershus, Fakultet for samfunnsfag/Sosialforsk&lt;/full-title&gt;&lt;/periodical&gt;&lt;dates&gt;&lt;year&gt;2014&lt;/year&gt;&lt;/dates&gt;&lt;urls&gt;&lt;/urls&gt;&lt;/record&gt;&lt;/Cite&gt;&lt;/EndNote&gt;</w:instrText>
      </w:r>
      <w:r w:rsidR="00676253">
        <w:rPr>
          <w:sz w:val="24"/>
          <w:szCs w:val="24"/>
        </w:rPr>
        <w:fldChar w:fldCharType="separate"/>
      </w:r>
      <w:r w:rsidR="00676253">
        <w:rPr>
          <w:noProof/>
          <w:sz w:val="24"/>
          <w:szCs w:val="24"/>
        </w:rPr>
        <w:t>(Dahl et al., 2014)</w:t>
      </w:r>
      <w:r w:rsidR="00676253">
        <w:rPr>
          <w:sz w:val="24"/>
          <w:szCs w:val="24"/>
        </w:rPr>
        <w:fldChar w:fldCharType="end"/>
      </w:r>
      <w:r w:rsidR="00676253">
        <w:rPr>
          <w:sz w:val="24"/>
          <w:szCs w:val="24"/>
        </w:rPr>
        <w:t>.</w:t>
      </w:r>
    </w:p>
    <w:p w:rsidR="008C24B2" w:rsidRDefault="008C24B2" w:rsidP="008C24B2">
      <w:pPr>
        <w:rPr>
          <w:sz w:val="24"/>
          <w:szCs w:val="24"/>
        </w:rPr>
      </w:pPr>
      <w:r>
        <w:rPr>
          <w:sz w:val="24"/>
          <w:szCs w:val="24"/>
        </w:rPr>
        <w:lastRenderedPageBreak/>
        <w:t>I Norge har det vært en økning i sosiale ulikheter fra 1970 til 1990 og stabilisert</w:t>
      </w:r>
      <w:r w:rsidR="005D2084">
        <w:rPr>
          <w:sz w:val="24"/>
          <w:szCs w:val="24"/>
        </w:rPr>
        <w:t xml:space="preserve"> seg mellom 199</w:t>
      </w:r>
      <w:r>
        <w:rPr>
          <w:sz w:val="24"/>
          <w:szCs w:val="24"/>
        </w:rPr>
        <w:t xml:space="preserve">0 og 2010. </w:t>
      </w:r>
      <w:r w:rsidR="00F41E20">
        <w:rPr>
          <w:sz w:val="24"/>
          <w:szCs w:val="24"/>
        </w:rPr>
        <w:t>Negative h</w:t>
      </w:r>
      <w:r>
        <w:rPr>
          <w:sz w:val="24"/>
          <w:szCs w:val="24"/>
        </w:rPr>
        <w:t xml:space="preserve">elseutfall kan dermed ha retrospektive årsaker </w:t>
      </w:r>
      <w:r w:rsidR="005D2084">
        <w:rPr>
          <w:sz w:val="24"/>
          <w:szCs w:val="24"/>
        </w:rPr>
        <w:t xml:space="preserve">som skyldes fattigdom </w:t>
      </w:r>
      <w:r w:rsidR="00F41E20">
        <w:rPr>
          <w:sz w:val="24"/>
          <w:szCs w:val="24"/>
        </w:rPr>
        <w:t>og mangel på mat</w:t>
      </w:r>
      <w:r w:rsidR="002A2482">
        <w:rPr>
          <w:sz w:val="24"/>
          <w:szCs w:val="24"/>
        </w:rPr>
        <w:t xml:space="preserve"> </w:t>
      </w:r>
      <w:r w:rsidR="005D2084">
        <w:rPr>
          <w:sz w:val="24"/>
          <w:szCs w:val="24"/>
        </w:rPr>
        <w:t xml:space="preserve">som barn </w:t>
      </w:r>
      <w:r w:rsidR="005D2084">
        <w:rPr>
          <w:sz w:val="24"/>
          <w:szCs w:val="24"/>
        </w:rPr>
        <w:fldChar w:fldCharType="begin"/>
      </w:r>
      <w:r w:rsidR="005D2084">
        <w:rPr>
          <w:sz w:val="24"/>
          <w:szCs w:val="24"/>
        </w:rPr>
        <w:instrText xml:space="preserve"> ADDIN EN.CITE &lt;EndNote&gt;&lt;Cite&gt;&lt;Author&gt;Næss&lt;/Author&gt;&lt;Year&gt;2007&lt;/Year&gt;&lt;RecNum&gt;21&lt;/RecNum&gt;&lt;DisplayText&gt;(Næss, Rognerud, &amp;amp; Strand, 2007)&lt;/DisplayText&gt;&lt;record&gt;&lt;rec-number&gt;21&lt;/rec-number&gt;&lt;foreign-keys&gt;&lt;key app="EN" db-id="advxwpzvq5dxwcerrv159tr9tpaetd992faf" timestamp="1433405913"&gt;21&lt;/key&gt;&lt;/foreign-keys&gt;&lt;ref-type name="Journal Article"&gt;17&lt;/ref-type&gt;&lt;contributors&gt;&lt;authors&gt;&lt;author&gt;Næss, Øyvind&lt;/author&gt;&lt;author&gt;Rognerud, Marit&lt;/author&gt;&lt;author&gt;Strand, Bjørn Heine&lt;/author&gt;&lt;/authors&gt;&lt;/contributors&gt;&lt;titles&gt;&lt;title&gt;Sosial ulikhet i helse: en faktarapport&lt;/title&gt;&lt;secondary-title&gt;Oslo: Nasjonalt folkehelseinstitutt&lt;/secondary-title&gt;&lt;/titles&gt;&lt;periodical&gt;&lt;full-title&gt;Oslo: Nasjonalt folkehelseinstitutt&lt;/full-title&gt;&lt;/periodical&gt;&lt;dates&gt;&lt;year&gt;2007&lt;/year&gt;&lt;/dates&gt;&lt;urls&gt;&lt;/urls&gt;&lt;/record&gt;&lt;/Cite&gt;&lt;/EndNote&gt;</w:instrText>
      </w:r>
      <w:r w:rsidR="005D2084">
        <w:rPr>
          <w:sz w:val="24"/>
          <w:szCs w:val="24"/>
        </w:rPr>
        <w:fldChar w:fldCharType="separate"/>
      </w:r>
      <w:r w:rsidR="005D2084">
        <w:rPr>
          <w:noProof/>
          <w:sz w:val="24"/>
          <w:szCs w:val="24"/>
        </w:rPr>
        <w:t>(Næss, Rognerud, &amp; Strand, 2007)</w:t>
      </w:r>
      <w:r w:rsidR="005D2084">
        <w:rPr>
          <w:sz w:val="24"/>
          <w:szCs w:val="24"/>
        </w:rPr>
        <w:fldChar w:fldCharType="end"/>
      </w:r>
      <w:r w:rsidR="005D2084">
        <w:rPr>
          <w:sz w:val="24"/>
          <w:szCs w:val="24"/>
        </w:rPr>
        <w:t>.</w:t>
      </w:r>
    </w:p>
    <w:p w:rsidR="00F41E20" w:rsidRDefault="00F41E20" w:rsidP="00F41E20">
      <w:pPr>
        <w:rPr>
          <w:sz w:val="24"/>
          <w:szCs w:val="24"/>
        </w:rPr>
      </w:pPr>
      <w:r w:rsidRPr="00710042">
        <w:rPr>
          <w:sz w:val="24"/>
          <w:szCs w:val="24"/>
        </w:rPr>
        <w:t>Individuell atferd</w:t>
      </w:r>
      <w:r w:rsidR="002A2482">
        <w:rPr>
          <w:sz w:val="24"/>
          <w:szCs w:val="24"/>
        </w:rPr>
        <w:t xml:space="preserve"> påvirkes</w:t>
      </w:r>
      <w:r>
        <w:rPr>
          <w:sz w:val="24"/>
          <w:szCs w:val="24"/>
        </w:rPr>
        <w:t xml:space="preserve"> tillegg av svært mye. Som</w:t>
      </w:r>
      <w:r w:rsidRPr="00710042">
        <w:rPr>
          <w:sz w:val="24"/>
          <w:szCs w:val="24"/>
        </w:rPr>
        <w:t xml:space="preserve"> samfunnets normer, verdier, f</w:t>
      </w:r>
      <w:r>
        <w:rPr>
          <w:sz w:val="24"/>
          <w:szCs w:val="24"/>
        </w:rPr>
        <w:t>orskrifter</w:t>
      </w:r>
      <w:r w:rsidR="002A2482">
        <w:rPr>
          <w:sz w:val="24"/>
          <w:szCs w:val="24"/>
        </w:rPr>
        <w:t>, forskjellige</w:t>
      </w:r>
      <w:r>
        <w:rPr>
          <w:sz w:val="24"/>
          <w:szCs w:val="24"/>
        </w:rPr>
        <w:t xml:space="preserve"> kultur</w:t>
      </w:r>
      <w:r w:rsidR="002A2482">
        <w:rPr>
          <w:sz w:val="24"/>
          <w:szCs w:val="24"/>
        </w:rPr>
        <w:t>er</w:t>
      </w:r>
      <w:r w:rsidR="005978C7">
        <w:rPr>
          <w:sz w:val="24"/>
          <w:szCs w:val="24"/>
        </w:rPr>
        <w:t xml:space="preserve"> og retningslinjer.  Et holistisk tankesett er nødvendig og </w:t>
      </w:r>
      <w:r>
        <w:rPr>
          <w:sz w:val="24"/>
          <w:szCs w:val="24"/>
        </w:rPr>
        <w:t xml:space="preserve">det er foreslått </w:t>
      </w:r>
      <w:r w:rsidR="00D25FB0">
        <w:rPr>
          <w:sz w:val="24"/>
          <w:szCs w:val="24"/>
        </w:rPr>
        <w:t>fire kategorier som skal gi et</w:t>
      </w:r>
      <w:r>
        <w:rPr>
          <w:sz w:val="24"/>
          <w:szCs w:val="24"/>
        </w:rPr>
        <w:t xml:space="preserve"> teoretisk rammeverk for å forklare helseulikheter. Disse er  Cultural-behavioural-, materialist-, psycho-soscial- og life-course model </w:t>
      </w:r>
      <w:r w:rsidR="00165EB5">
        <w:rPr>
          <w:sz w:val="24"/>
          <w:szCs w:val="24"/>
        </w:rPr>
        <w:fldChar w:fldCharType="begin"/>
      </w:r>
      <w:r w:rsidR="00D25FB0">
        <w:rPr>
          <w:sz w:val="24"/>
          <w:szCs w:val="24"/>
        </w:rPr>
        <w:instrText xml:space="preserve"> ADDIN EN.CITE &lt;EndNote&gt;&lt;Cite&gt;&lt;Author&gt;Shaw&lt;/Author&gt;&lt;Year&gt;2005&lt;/Year&gt;&lt;RecNum&gt;24&lt;/RecNum&gt;&lt;DisplayText&gt;(Shaw, 2005)&lt;/DisplayText&gt;&lt;record&gt;&lt;rec-number&gt;24&lt;/rec-number&gt;&lt;foreign-keys&gt;&lt;key app="EN" db-id="advxwpzvq5dxwcerrv159tr9tpaetd992faf" timestamp="1433412295"&gt;24&lt;/key&gt;&lt;/foreign-keys&gt;&lt;ref-type name="Journal Article"&gt;17&lt;/ref-type&gt;&lt;contributors&gt;&lt;authors&gt;&lt;author&gt;Shaw, Mary&lt;/author&gt;&lt;/authors&gt;&lt;/contributors&gt;&lt;titles&gt;&lt;title&gt;Health Inequality: An Introduction to Theories, Concepts and Methods. Mel Bartley. Cambridge: Polity Press, 2004, pp. 224, £16.99 (PB), ISBN: 0745627803&lt;/title&gt;&lt;secondary-title&gt;International Journal of Epidemiology&lt;/secondary-title&gt;&lt;/titles&gt;&lt;periodical&gt;&lt;full-title&gt;International Journal of Epidemiology&lt;/full-title&gt;&lt;/periodical&gt;&lt;pages&gt;500-502&lt;/pages&gt;&lt;volume&gt;34&lt;/volume&gt;&lt;number&gt;2&lt;/number&gt;&lt;dates&gt;&lt;year&gt;2005&lt;/year&gt;&lt;pub-dates&gt;&lt;date&gt;April 1, 2005&lt;/date&gt;&lt;/pub-dates&gt;&lt;/dates&gt;&lt;urls&gt;&lt;related-urls&gt;&lt;url&gt;http://ije.oxfordjournals.org/content/34/2/500.short&lt;/url&gt;&lt;/related-urls&gt;&lt;/urls&gt;&lt;electronic-resource-num&gt;10.1093/ije/dyi053&lt;/electronic-resource-num&gt;&lt;/record&gt;&lt;/Cite&gt;&lt;/EndNote&gt;</w:instrText>
      </w:r>
      <w:r w:rsidR="00165EB5">
        <w:rPr>
          <w:sz w:val="24"/>
          <w:szCs w:val="24"/>
        </w:rPr>
        <w:fldChar w:fldCharType="separate"/>
      </w:r>
      <w:r w:rsidR="00165EB5">
        <w:rPr>
          <w:noProof/>
          <w:sz w:val="24"/>
          <w:szCs w:val="24"/>
        </w:rPr>
        <w:t>(Shaw, 2005)</w:t>
      </w:r>
      <w:r w:rsidR="00165EB5">
        <w:rPr>
          <w:sz w:val="24"/>
          <w:szCs w:val="24"/>
        </w:rPr>
        <w:fldChar w:fldCharType="end"/>
      </w:r>
      <w:r>
        <w:rPr>
          <w:sz w:val="24"/>
          <w:szCs w:val="24"/>
        </w:rPr>
        <w:t xml:space="preserve">.  </w:t>
      </w:r>
    </w:p>
    <w:p w:rsidR="00F41E20" w:rsidRDefault="005978C7" w:rsidP="00F41E20">
      <w:pPr>
        <w:pStyle w:val="Overskrift2"/>
      </w:pPr>
      <w:bookmarkStart w:id="5" w:name="_Toc421263273"/>
      <w:r>
        <w:rPr>
          <w:color w:val="1F4E79" w:themeColor="accent1" w:themeShade="80"/>
        </w:rPr>
        <w:t>Primær</w:t>
      </w:r>
      <w:r w:rsidR="00F41E20" w:rsidRPr="00D10EB0">
        <w:rPr>
          <w:color w:val="1F4E79" w:themeColor="accent1" w:themeShade="80"/>
        </w:rPr>
        <w:t xml:space="preserve"> forebygging av risikofaktorer – nasjonalt og internasjonalt</w:t>
      </w:r>
      <w:bookmarkEnd w:id="5"/>
    </w:p>
    <w:p w:rsidR="002B5690" w:rsidRPr="00286B84" w:rsidRDefault="007260D4" w:rsidP="00B24B10">
      <w:pPr>
        <w:rPr>
          <w:sz w:val="24"/>
          <w:szCs w:val="24"/>
        </w:rPr>
      </w:pPr>
      <w:r>
        <w:rPr>
          <w:sz w:val="24"/>
          <w:szCs w:val="24"/>
        </w:rPr>
        <w:t>Internasjonalt har WHO en rapport om sosiale helsedeterimnanter. Medlemslandene blir oppfordret til å utrede konsekvensene av den offentlige politikken som omhandler fordeling av helse</w:t>
      </w:r>
      <w:r w:rsidR="00286B84">
        <w:rPr>
          <w:sz w:val="24"/>
          <w:szCs w:val="24"/>
        </w:rPr>
        <w:t xml:space="preserve">. Tre hovedprinsipper ble vektlagt: </w:t>
      </w:r>
      <w:r w:rsidR="00125BE8">
        <w:rPr>
          <w:sz w:val="24"/>
          <w:szCs w:val="24"/>
        </w:rPr>
        <w:br/>
      </w:r>
      <w:r w:rsidR="00286B84">
        <w:rPr>
          <w:sz w:val="24"/>
          <w:szCs w:val="24"/>
        </w:rPr>
        <w:t xml:space="preserve">1) Å forberede det daglige helsemiljøet. </w:t>
      </w:r>
      <w:r w:rsidR="00125BE8">
        <w:rPr>
          <w:sz w:val="24"/>
          <w:szCs w:val="24"/>
        </w:rPr>
        <w:br/>
      </w:r>
      <w:r w:rsidR="00286B84">
        <w:rPr>
          <w:sz w:val="24"/>
          <w:szCs w:val="24"/>
        </w:rPr>
        <w:t xml:space="preserve">2) Takle den urettferdige distribusjonen av makt, penger og ressurser. </w:t>
      </w:r>
      <w:r w:rsidR="00125BE8">
        <w:rPr>
          <w:sz w:val="24"/>
          <w:szCs w:val="24"/>
        </w:rPr>
        <w:br/>
      </w:r>
      <w:r w:rsidR="00286B84">
        <w:rPr>
          <w:sz w:val="24"/>
          <w:szCs w:val="24"/>
        </w:rPr>
        <w:t xml:space="preserve">3) Måle problemene, evaluere intervensjoner og øke kunnskapsgrunnlaget. </w:t>
      </w:r>
      <w:r w:rsidR="00125BE8">
        <w:rPr>
          <w:sz w:val="24"/>
          <w:szCs w:val="24"/>
        </w:rPr>
        <w:br/>
      </w:r>
      <w:r w:rsidR="00125BE8">
        <w:rPr>
          <w:sz w:val="24"/>
          <w:szCs w:val="24"/>
        </w:rPr>
        <w:br/>
        <w:t xml:space="preserve">I tillegg bruke </w:t>
      </w:r>
      <w:r w:rsidR="00286B84">
        <w:rPr>
          <w:sz w:val="24"/>
          <w:szCs w:val="24"/>
        </w:rPr>
        <w:t>helsepersonell som er utdannet innen dette feltet og slik gjø</w:t>
      </w:r>
      <w:r w:rsidR="00125BE8">
        <w:rPr>
          <w:sz w:val="24"/>
          <w:szCs w:val="24"/>
        </w:rPr>
        <w:t>re samfunnet oppmerksom rundt problemstillingene og</w:t>
      </w:r>
      <w:r w:rsidR="00B81CBF">
        <w:rPr>
          <w:sz w:val="24"/>
          <w:szCs w:val="24"/>
        </w:rPr>
        <w:t xml:space="preserve"> forskningen som ligger til grunn</w:t>
      </w:r>
      <w:r w:rsidR="00286B84">
        <w:rPr>
          <w:sz w:val="24"/>
          <w:szCs w:val="24"/>
        </w:rPr>
        <w:t xml:space="preserve"> </w:t>
      </w:r>
      <w:r w:rsidR="00286B84">
        <w:rPr>
          <w:sz w:val="24"/>
          <w:szCs w:val="24"/>
        </w:rPr>
        <w:fldChar w:fldCharType="begin"/>
      </w:r>
      <w:r w:rsidR="00286B84">
        <w:rPr>
          <w:sz w:val="24"/>
          <w:szCs w:val="24"/>
        </w:rPr>
        <w:instrText xml:space="preserve"> ADDIN EN.CITE &lt;EndNote&gt;&lt;Cite&gt;&lt;Author&gt;WHO&lt;/Author&gt;&lt;Year&gt;2008&lt;/Year&gt;&lt;RecNum&gt;26&lt;/RecNum&gt;&lt;DisplayText&gt;(WHO, 2008)&lt;/DisplayText&gt;&lt;record&gt;&lt;rec-number&gt;26&lt;/rec-number&gt;&lt;foreign-keys&gt;&lt;key app="EN" db-id="advxwpzvq5dxwcerrv159tr9tpaetd992faf" timestamp="1433413247"&gt;26&lt;/key&gt;&lt;/foreign-keys&gt;&lt;ref-type name="Book"&gt;6&lt;/ref-type&gt;&lt;contributors&gt;&lt;authors&gt;&lt;author&gt;WHO&lt;/author&gt;&lt;/authors&gt;&lt;/contributors&gt;&lt;titles&gt;&lt;title&gt;Closing the Gap in a Generation: Health Equity Through Action on the Social Determinants of Health: Commission on Social Determinants of Health Final Report&lt;/title&gt;&lt;/titles&gt;&lt;dates&gt;&lt;year&gt;2008&lt;/year&gt;&lt;/dates&gt;&lt;publisher&gt;WHO&lt;/publisher&gt;&lt;isbn&gt;9241563702&lt;/isbn&gt;&lt;urls&gt;&lt;/urls&gt;&lt;/record&gt;&lt;/Cite&gt;&lt;/EndNote&gt;</w:instrText>
      </w:r>
      <w:r w:rsidR="00286B84">
        <w:rPr>
          <w:sz w:val="24"/>
          <w:szCs w:val="24"/>
        </w:rPr>
        <w:fldChar w:fldCharType="separate"/>
      </w:r>
      <w:r w:rsidR="00286B84">
        <w:rPr>
          <w:noProof/>
          <w:sz w:val="24"/>
          <w:szCs w:val="24"/>
        </w:rPr>
        <w:t>(WHO, 2008)</w:t>
      </w:r>
      <w:r w:rsidR="00286B84">
        <w:rPr>
          <w:sz w:val="24"/>
          <w:szCs w:val="24"/>
        </w:rPr>
        <w:fldChar w:fldCharType="end"/>
      </w:r>
      <w:r w:rsidR="00286B84">
        <w:rPr>
          <w:sz w:val="24"/>
          <w:szCs w:val="24"/>
        </w:rPr>
        <w:t xml:space="preserve">. </w:t>
      </w:r>
    </w:p>
    <w:p w:rsidR="007260D4" w:rsidRDefault="007260D4" w:rsidP="007260D4">
      <w:pPr>
        <w:rPr>
          <w:sz w:val="24"/>
          <w:szCs w:val="24"/>
        </w:rPr>
      </w:pPr>
      <w:r>
        <w:rPr>
          <w:sz w:val="24"/>
          <w:szCs w:val="24"/>
        </w:rPr>
        <w:t>I Norge er ikke-vestlige innvandre og andre med en lavere sosioøkonomisk eksempler på sårbare gru</w:t>
      </w:r>
      <w:r w:rsidR="005978C7">
        <w:rPr>
          <w:sz w:val="24"/>
          <w:szCs w:val="24"/>
        </w:rPr>
        <w:t xml:space="preserve">pper. I 2007 ble en </w:t>
      </w:r>
      <w:r>
        <w:rPr>
          <w:sz w:val="24"/>
          <w:szCs w:val="24"/>
        </w:rPr>
        <w:t>nasjonal strategi for å utjev</w:t>
      </w:r>
      <w:r w:rsidR="00F121B6">
        <w:rPr>
          <w:sz w:val="24"/>
          <w:szCs w:val="24"/>
        </w:rPr>
        <w:t>ne sosiale helseforskjeller</w:t>
      </w:r>
      <w:r w:rsidR="005978C7">
        <w:rPr>
          <w:sz w:val="24"/>
          <w:szCs w:val="24"/>
        </w:rPr>
        <w:t xml:space="preserve"> lagt fram</w:t>
      </w:r>
      <w:r>
        <w:rPr>
          <w:sz w:val="24"/>
          <w:szCs w:val="24"/>
        </w:rPr>
        <w:t xml:space="preserve"> </w:t>
      </w:r>
      <w:r w:rsidR="00F121B6">
        <w:rPr>
          <w:sz w:val="24"/>
          <w:szCs w:val="24"/>
        </w:rPr>
        <w:fldChar w:fldCharType="begin"/>
      </w:r>
      <w:r w:rsidR="00F121B6">
        <w:rPr>
          <w:sz w:val="24"/>
          <w:szCs w:val="24"/>
        </w:rPr>
        <w:instrText xml:space="preserve"> ADDIN EN.CITE &lt;EndNote&gt;&lt;Cite&gt;&lt;Author&gt;Regjeringen&lt;/Author&gt;&lt;Year&gt;2007&lt;/Year&gt;&lt;RecNum&gt;27&lt;/RecNum&gt;&lt;DisplayText&gt;(Regjeringen, 2007)&lt;/DisplayText&gt;&lt;record&gt;&lt;rec-number&gt;27&lt;/rec-number&gt;&lt;foreign-keys&gt;&lt;key app="EN" db-id="advxwpzvq5dxwcerrv159tr9tpaetd992faf" timestamp="1433414537"&gt;27&lt;/key&gt;&lt;/foreign-keys&gt;&lt;ref-type name="Web Page"&gt;12&lt;/ref-type&gt;&lt;contributors&gt;&lt;authors&gt;&lt;author&gt;Regjeringen&lt;/author&gt;&lt;/authors&gt;&lt;/contributors&gt;&lt;titles&gt;&lt;title&gt;Del 3 Oppfølging av Nasjonal helseplan (2007-2010)&lt;/title&gt;&lt;secondary-title&gt;St.prp. nr. 1 (2007-2008)&lt;/secondary-title&gt;&lt;/titles&gt;&lt;dates&gt;&lt;year&gt;2007&lt;/year&gt;&lt;/dates&gt;&lt;pub-location&gt;Oslo&lt;/pub-location&gt;&lt;publisher&gt;Regjeringen.no&lt;/publisher&gt;&lt;urls&gt;&lt;related-urls&gt;&lt;url&gt;https://www.regjeringen.no/nb/dokumenter/stprp-nr-1-2007-2008-/id483671/?docId=STP200720080001HODDDDEPIS&amp;amp;q=&amp;amp;navchap=1&amp;amp;ch=3&lt;/url&gt;&lt;/related-urls&gt;&lt;/urls&gt;&lt;custom2&gt;04.06.2015&lt;/custom2&gt;&lt;/record&gt;&lt;/Cite&gt;&lt;/EndNote&gt;</w:instrText>
      </w:r>
      <w:r w:rsidR="00F121B6">
        <w:rPr>
          <w:sz w:val="24"/>
          <w:szCs w:val="24"/>
        </w:rPr>
        <w:fldChar w:fldCharType="separate"/>
      </w:r>
      <w:r w:rsidR="00F121B6">
        <w:rPr>
          <w:noProof/>
          <w:sz w:val="24"/>
          <w:szCs w:val="24"/>
        </w:rPr>
        <w:t>(Regjeringen, 2007)</w:t>
      </w:r>
      <w:r w:rsidR="00F121B6">
        <w:rPr>
          <w:sz w:val="24"/>
          <w:szCs w:val="24"/>
        </w:rPr>
        <w:fldChar w:fldCharType="end"/>
      </w:r>
      <w:r w:rsidR="00F121B6">
        <w:rPr>
          <w:sz w:val="24"/>
          <w:szCs w:val="24"/>
        </w:rPr>
        <w:t>. I 2012 ble initiativet tatt for å gjennomgå faktorene som påvirker disse.</w:t>
      </w:r>
      <w:r w:rsidR="005271A8">
        <w:rPr>
          <w:sz w:val="24"/>
          <w:szCs w:val="24"/>
        </w:rPr>
        <w:t xml:space="preserve"> England på sin side har utviklet en 40års strategi for å imøtekomme fedmeproblematikken </w:t>
      </w:r>
      <w:r w:rsidR="005271A8">
        <w:rPr>
          <w:sz w:val="24"/>
          <w:szCs w:val="24"/>
        </w:rPr>
        <w:fldChar w:fldCharType="begin"/>
      </w:r>
      <w:r w:rsidR="005271A8">
        <w:rPr>
          <w:sz w:val="24"/>
          <w:szCs w:val="24"/>
        </w:rPr>
        <w:instrText xml:space="preserve"> ADDIN EN.CITE &lt;EndNote&gt;&lt;Cite&gt;&lt;Author&gt;Butland&lt;/Author&gt;&lt;Year&gt;2007&lt;/Year&gt;&lt;RecNum&gt;29&lt;/RecNum&gt;&lt;DisplayText&gt;(Butland et al., 2007)&lt;/DisplayText&gt;&lt;record&gt;&lt;rec-number&gt;29&lt;/rec-number&gt;&lt;foreign-keys&gt;&lt;key app="EN" db-id="advxwpzvq5dxwcerrv159tr9tpaetd992faf" timestamp="1433430079"&gt;29&lt;/key&gt;&lt;/foreign-keys&gt;&lt;ref-type name="Book"&gt;6&lt;/ref-type&gt;&lt;contributors&gt;&lt;authors&gt;&lt;author&gt;Butland, Bryony&lt;/author&gt;&lt;author&gt;Jebb, Susan&lt;/author&gt;&lt;author&gt;Kopelman, Peter&lt;/author&gt;&lt;author&gt;McPherson, Klim&lt;/author&gt;&lt;author&gt;Thomas, Sandy&lt;/author&gt;&lt;author&gt;Mardell, Jane&lt;/author&gt;&lt;author&gt;Parry, Vivienne&lt;/author&gt;&lt;/authors&gt;&lt;/contributors&gt;&lt;titles&gt;&lt;title&gt;Tackling Obesities: Future Choices: Project Report&lt;/title&gt;&lt;/titles&gt;&lt;dates&gt;&lt;year&gt;2007&lt;/year&gt;&lt;/dates&gt;&lt;publisher&gt;Citeseer&lt;/publisher&gt;&lt;urls&gt;&lt;/urls&gt;&lt;/record&gt;&lt;/Cite&gt;&lt;/EndNote&gt;</w:instrText>
      </w:r>
      <w:r w:rsidR="005271A8">
        <w:rPr>
          <w:sz w:val="24"/>
          <w:szCs w:val="24"/>
        </w:rPr>
        <w:fldChar w:fldCharType="separate"/>
      </w:r>
      <w:r w:rsidR="005271A8">
        <w:rPr>
          <w:noProof/>
          <w:sz w:val="24"/>
          <w:szCs w:val="24"/>
        </w:rPr>
        <w:t>(Butland et al., 2007)</w:t>
      </w:r>
      <w:r w:rsidR="005271A8">
        <w:rPr>
          <w:sz w:val="24"/>
          <w:szCs w:val="24"/>
        </w:rPr>
        <w:fldChar w:fldCharType="end"/>
      </w:r>
      <w:r w:rsidR="005271A8">
        <w:rPr>
          <w:sz w:val="24"/>
          <w:szCs w:val="24"/>
        </w:rPr>
        <w:t xml:space="preserve">. </w:t>
      </w:r>
    </w:p>
    <w:p w:rsidR="00E178F3" w:rsidRPr="00D10EB0" w:rsidRDefault="00634F71" w:rsidP="00E178F3">
      <w:pPr>
        <w:pStyle w:val="Overskrift2"/>
        <w:rPr>
          <w:color w:val="1F4E79" w:themeColor="accent1" w:themeShade="80"/>
        </w:rPr>
      </w:pPr>
      <w:bookmarkStart w:id="6" w:name="_Toc421263274"/>
      <w:r w:rsidRPr="00D10EB0">
        <w:rPr>
          <w:color w:val="1F4E79" w:themeColor="accent1" w:themeShade="80"/>
        </w:rPr>
        <w:t>Gratis frukt</w:t>
      </w:r>
      <w:r w:rsidR="0028630F" w:rsidRPr="00D10EB0">
        <w:rPr>
          <w:color w:val="1F4E79" w:themeColor="accent1" w:themeShade="80"/>
        </w:rPr>
        <w:t xml:space="preserve"> &amp; grønt </w:t>
      </w:r>
      <w:r w:rsidR="00E178F3" w:rsidRPr="00D10EB0">
        <w:rPr>
          <w:color w:val="1F4E79" w:themeColor="accent1" w:themeShade="80"/>
        </w:rPr>
        <w:t xml:space="preserve">på skolen – valg </w:t>
      </w:r>
      <w:r w:rsidR="00D10EB0" w:rsidRPr="00D10EB0">
        <w:rPr>
          <w:color w:val="1F4E79" w:themeColor="accent1" w:themeShade="80"/>
        </w:rPr>
        <w:t>av studie</w:t>
      </w:r>
      <w:bookmarkEnd w:id="6"/>
    </w:p>
    <w:p w:rsidR="005978C7" w:rsidRDefault="00E178F3" w:rsidP="00B24B10">
      <w:pPr>
        <w:rPr>
          <w:sz w:val="24"/>
          <w:szCs w:val="24"/>
        </w:rPr>
      </w:pPr>
      <w:r>
        <w:rPr>
          <w:sz w:val="24"/>
          <w:szCs w:val="24"/>
        </w:rPr>
        <w:t>Norge har konkrete mål</w:t>
      </w:r>
      <w:r w:rsidR="00C22700">
        <w:rPr>
          <w:sz w:val="24"/>
          <w:szCs w:val="24"/>
        </w:rPr>
        <w:t xml:space="preserve"> om å være et av </w:t>
      </w:r>
      <w:r w:rsidR="00C075EE">
        <w:rPr>
          <w:sz w:val="24"/>
          <w:szCs w:val="24"/>
        </w:rPr>
        <w:t xml:space="preserve">de tre beste landene med høyest levealder og skape et samfunn som fremmer helse i hele befolkningen </w:t>
      </w:r>
      <w:r w:rsidR="00C075EE">
        <w:rPr>
          <w:sz w:val="24"/>
          <w:szCs w:val="24"/>
        </w:rPr>
        <w:fldChar w:fldCharType="begin"/>
      </w:r>
      <w:r w:rsidR="00E933E0">
        <w:rPr>
          <w:sz w:val="24"/>
          <w:szCs w:val="24"/>
        </w:rPr>
        <w:instrText xml:space="preserve"> ADDIN EN.CITE &lt;EndNote&gt;&lt;Cite&gt;&lt;Author&gt;Helsedirektoratet&lt;/Author&gt;&lt;Year&gt;2014&lt;/Year&gt;&lt;RecNum&gt;28&lt;/RecNum&gt;&lt;DisplayText&gt;(Helsedirektoratet, 2014)&lt;/DisplayText&gt;&lt;record&gt;&lt;rec-number&gt;28&lt;/rec-number&gt;&lt;foreign-keys&gt;&lt;key app="EN" db-id="advxwpzvq5dxwcerrv159tr9tpaetd992faf" timestamp="1433416725"&gt;28&lt;/key&gt;&lt;/foreign-keys&gt;&lt;ref-type name="Web Page"&gt;12&lt;/ref-type&gt;&lt;contributors&gt;&lt;authors&gt;&lt;author&gt;Helsedirektoratet &lt;/author&gt;&lt;/authors&gt;&lt;/contributors&gt;&lt;titles&gt;&lt;title&gt;Samfunnsutvikling for god folkehelse  (2014-2018)&lt;/title&gt;&lt;/titles&gt;&lt;number&gt;04.06.2015&lt;/number&gt;&lt;dates&gt;&lt;year&gt;2014&lt;/year&gt;&lt;/dates&gt;&lt;urls&gt;&lt;related-urls&gt;&lt;url&gt;https://helsedirektoratet.no/Lists/Publikasjoner/Attachments/311/Samfunnsutvikling-for-god-folkehelse-IS-2203.pdf&lt;/url&gt;&lt;/related-urls&gt;&lt;/urls&gt;&lt;/record&gt;&lt;/Cite&gt;&lt;/EndNote&gt;</w:instrText>
      </w:r>
      <w:r w:rsidR="00C075EE">
        <w:rPr>
          <w:sz w:val="24"/>
          <w:szCs w:val="24"/>
        </w:rPr>
        <w:fldChar w:fldCharType="separate"/>
      </w:r>
      <w:r w:rsidR="00C075EE">
        <w:rPr>
          <w:noProof/>
          <w:sz w:val="24"/>
          <w:szCs w:val="24"/>
        </w:rPr>
        <w:t>(Helsedirektoratet, 2014)</w:t>
      </w:r>
      <w:r w:rsidR="00C075EE">
        <w:rPr>
          <w:sz w:val="24"/>
          <w:szCs w:val="24"/>
        </w:rPr>
        <w:fldChar w:fldCharType="end"/>
      </w:r>
      <w:r w:rsidR="00C075EE">
        <w:rPr>
          <w:sz w:val="24"/>
          <w:szCs w:val="24"/>
        </w:rPr>
        <w:t xml:space="preserve">. </w:t>
      </w:r>
      <w:r>
        <w:rPr>
          <w:sz w:val="24"/>
          <w:szCs w:val="24"/>
        </w:rPr>
        <w:t>Det foreligger</w:t>
      </w:r>
      <w:r w:rsidR="00C22700">
        <w:rPr>
          <w:sz w:val="24"/>
          <w:szCs w:val="24"/>
        </w:rPr>
        <w:t xml:space="preserve"> </w:t>
      </w:r>
      <w:r>
        <w:rPr>
          <w:sz w:val="24"/>
          <w:szCs w:val="24"/>
        </w:rPr>
        <w:t xml:space="preserve">anbefalinger </w:t>
      </w:r>
      <w:r w:rsidR="005271A8">
        <w:rPr>
          <w:sz w:val="24"/>
          <w:szCs w:val="24"/>
        </w:rPr>
        <w:t xml:space="preserve">fra det vitenskapelige miljøet </w:t>
      </w:r>
      <w:r w:rsidR="005978C7">
        <w:rPr>
          <w:sz w:val="24"/>
          <w:szCs w:val="24"/>
        </w:rPr>
        <w:t xml:space="preserve">for </w:t>
      </w:r>
      <w:r w:rsidR="005271A8">
        <w:rPr>
          <w:sz w:val="24"/>
          <w:szCs w:val="24"/>
        </w:rPr>
        <w:t xml:space="preserve">å </w:t>
      </w:r>
      <w:r>
        <w:rPr>
          <w:sz w:val="24"/>
          <w:szCs w:val="24"/>
        </w:rPr>
        <w:t xml:space="preserve">innføre gratis </w:t>
      </w:r>
      <w:r w:rsidR="00792CA8">
        <w:rPr>
          <w:sz w:val="24"/>
          <w:szCs w:val="24"/>
        </w:rPr>
        <w:t>skole</w:t>
      </w:r>
      <w:r>
        <w:rPr>
          <w:sz w:val="24"/>
          <w:szCs w:val="24"/>
        </w:rPr>
        <w:t xml:space="preserve">frukt </w:t>
      </w:r>
      <w:r w:rsidR="005978C7">
        <w:rPr>
          <w:sz w:val="24"/>
          <w:szCs w:val="24"/>
        </w:rPr>
        <w:t>på</w:t>
      </w:r>
      <w:r>
        <w:rPr>
          <w:sz w:val="24"/>
          <w:szCs w:val="24"/>
        </w:rPr>
        <w:t xml:space="preserve"> grunnskolen</w:t>
      </w:r>
      <w:r w:rsidR="00792CA8">
        <w:rPr>
          <w:sz w:val="24"/>
          <w:szCs w:val="24"/>
        </w:rPr>
        <w:t xml:space="preserve">. Kunnskapoppsummeringen råder regjeringen også til dette </w:t>
      </w:r>
      <w:r w:rsidR="00792CA8">
        <w:rPr>
          <w:sz w:val="24"/>
          <w:szCs w:val="24"/>
        </w:rPr>
        <w:fldChar w:fldCharType="begin"/>
      </w:r>
      <w:r w:rsidR="00792CA8">
        <w:rPr>
          <w:sz w:val="24"/>
          <w:szCs w:val="24"/>
        </w:rPr>
        <w:instrText xml:space="preserve"> ADDIN EN.CITE &lt;EndNote&gt;&lt;Cite&gt;&lt;Author&gt;Dahl&lt;/Author&gt;&lt;Year&gt;2014&lt;/Year&gt;&lt;RecNum&gt;20&lt;/RecNum&gt;&lt;DisplayText&gt;(Dahl et al., 2014)&lt;/DisplayText&gt;&lt;record&gt;&lt;rec-number&gt;20&lt;/rec-number&gt;&lt;foreign-keys&gt;&lt;key app="EN" db-id="advxwpzvq5dxwcerrv159tr9tpaetd992faf" timestamp="1433404494"&gt;20&lt;/key&gt;&lt;/foreign-keys&gt;&lt;ref-type name="Journal Article"&gt;17&lt;/ref-type&gt;&lt;contributors&gt;&lt;authors&gt;&lt;author&gt;Dahl, Espen&lt;/author&gt;&lt;author&gt;Bergsli, H&lt;/author&gt;&lt;author&gt;van der Wel, KA&lt;/author&gt;&lt;/authors&gt;&lt;/contributors&gt;&lt;titles&gt;&lt;title&gt;Sosial ulikhet i helse: En norsk kunnskapsoversikt&lt;/title&gt;&lt;secondary-title&gt;Oslo: Høgskolen i Oslo og Akershus, Fakultet for samfunnsfag/Sosialforsk&lt;/secondary-title&gt;&lt;/titles&gt;&lt;periodical&gt;&lt;full-title&gt;Oslo: Høgskolen i Oslo og Akershus, Fakultet for samfunnsfag/Sosialforsk&lt;/full-title&gt;&lt;/periodical&gt;&lt;dates&gt;&lt;year&gt;2014&lt;/year&gt;&lt;/dates&gt;&lt;urls&gt;&lt;/urls&gt;&lt;/record&gt;&lt;/Cite&gt;&lt;/EndNote&gt;</w:instrText>
      </w:r>
      <w:r w:rsidR="00792CA8">
        <w:rPr>
          <w:sz w:val="24"/>
          <w:szCs w:val="24"/>
        </w:rPr>
        <w:fldChar w:fldCharType="separate"/>
      </w:r>
      <w:r w:rsidR="00792CA8">
        <w:rPr>
          <w:noProof/>
          <w:sz w:val="24"/>
          <w:szCs w:val="24"/>
        </w:rPr>
        <w:t>(Dahl et al., 2014)</w:t>
      </w:r>
      <w:r w:rsidR="00792CA8">
        <w:rPr>
          <w:sz w:val="24"/>
          <w:szCs w:val="24"/>
        </w:rPr>
        <w:fldChar w:fldCharType="end"/>
      </w:r>
      <w:r w:rsidR="00792CA8">
        <w:rPr>
          <w:sz w:val="24"/>
          <w:szCs w:val="24"/>
        </w:rPr>
        <w:t>.  D</w:t>
      </w:r>
      <w:r w:rsidR="00C22700">
        <w:rPr>
          <w:sz w:val="24"/>
          <w:szCs w:val="24"/>
        </w:rPr>
        <w:t>en tidligere regjeringen</w:t>
      </w:r>
      <w:r w:rsidR="00792CA8">
        <w:rPr>
          <w:sz w:val="24"/>
          <w:szCs w:val="24"/>
        </w:rPr>
        <w:t xml:space="preserve"> ønsket denne ordringen</w:t>
      </w:r>
      <w:r w:rsidR="00C22700">
        <w:rPr>
          <w:sz w:val="24"/>
          <w:szCs w:val="24"/>
        </w:rPr>
        <w:t>, men fjernet av den nye. Regjeringen har et mål</w:t>
      </w:r>
      <w:r w:rsidR="00B101CD">
        <w:rPr>
          <w:sz w:val="24"/>
          <w:szCs w:val="24"/>
        </w:rPr>
        <w:t xml:space="preserve"> om å redusere sosiale helseforskjeller</w:t>
      </w:r>
      <w:r w:rsidR="00B81CBF">
        <w:rPr>
          <w:sz w:val="24"/>
          <w:szCs w:val="24"/>
        </w:rPr>
        <w:t xml:space="preserve">. Dersom dette ønskes blir det </w:t>
      </w:r>
      <w:r w:rsidR="005978C7">
        <w:rPr>
          <w:sz w:val="24"/>
          <w:szCs w:val="24"/>
        </w:rPr>
        <w:t>selvmotsigende</w:t>
      </w:r>
      <w:r w:rsidR="00C22700">
        <w:rPr>
          <w:sz w:val="24"/>
          <w:szCs w:val="24"/>
        </w:rPr>
        <w:t xml:space="preserve"> å fj</w:t>
      </w:r>
      <w:r w:rsidR="005978C7">
        <w:rPr>
          <w:sz w:val="24"/>
          <w:szCs w:val="24"/>
        </w:rPr>
        <w:t>erne denne ordningen. Mer sårbare underg</w:t>
      </w:r>
      <w:r w:rsidR="00C22700">
        <w:rPr>
          <w:sz w:val="24"/>
          <w:szCs w:val="24"/>
        </w:rPr>
        <w:t>rupper har en verre sosioøkonomisk bakgrunn</w:t>
      </w:r>
      <w:r w:rsidR="005978C7">
        <w:rPr>
          <w:sz w:val="24"/>
          <w:szCs w:val="24"/>
        </w:rPr>
        <w:t xml:space="preserve"> og barn av disse vil ha nytte av en slik ordning</w:t>
      </w:r>
      <w:r w:rsidR="00C22700">
        <w:rPr>
          <w:sz w:val="24"/>
          <w:szCs w:val="24"/>
        </w:rPr>
        <w:t xml:space="preserve">. </w:t>
      </w:r>
      <w:r w:rsidR="00B81CBF">
        <w:rPr>
          <w:sz w:val="24"/>
          <w:szCs w:val="24"/>
        </w:rPr>
        <w:t>EU støtter ordningen når</w:t>
      </w:r>
      <w:r w:rsidR="005978C7">
        <w:rPr>
          <w:sz w:val="24"/>
          <w:szCs w:val="24"/>
        </w:rPr>
        <w:t xml:space="preserve"> målet er å forhindre</w:t>
      </w:r>
      <w:r w:rsidR="00E933E0">
        <w:rPr>
          <w:sz w:val="24"/>
          <w:szCs w:val="24"/>
        </w:rPr>
        <w:t xml:space="preserve"> økt prevalens av overvekt</w:t>
      </w:r>
      <w:r w:rsidR="00B20EBD">
        <w:rPr>
          <w:sz w:val="24"/>
          <w:szCs w:val="24"/>
        </w:rPr>
        <w:t xml:space="preserve"> </w:t>
      </w:r>
      <w:r w:rsidR="00B20EBD">
        <w:rPr>
          <w:sz w:val="24"/>
          <w:szCs w:val="24"/>
        </w:rPr>
        <w:fldChar w:fldCharType="begin"/>
      </w:r>
      <w:r w:rsidR="00E933E0">
        <w:rPr>
          <w:sz w:val="24"/>
          <w:szCs w:val="24"/>
        </w:rPr>
        <w:instrText xml:space="preserve"> ADDIN EN.CITE &lt;EndNote&gt;&lt;Cite&gt;&lt;Author&gt;EU&lt;/Author&gt;&lt;RecNum&gt;32&lt;/RecNum&gt;&lt;DisplayText&gt;(EU, 2015)&lt;/DisplayText&gt;&lt;record&gt;&lt;rec-number&gt;32&lt;/rec-number&gt;&lt;foreign-keys&gt;&lt;key app="EN" db-id="advxwpzvq5dxwcerrv159tr9tpaetd992faf" timestamp="1433437302"&gt;32&lt;/key&gt;&lt;/foreign-keys&gt;&lt;ref-type name="Web Page"&gt;12&lt;/ref-type&gt;&lt;contributors&gt;&lt;authors&gt;&lt;author&gt;EU&lt;/author&gt;&lt;/authors&gt;&lt;/contributors&gt;&lt;titles&gt;&lt;title&gt;Agriculture and Rural Development - Fruit and vegetables: Free distribution&lt;/title&gt;&lt;/titles&gt;&lt;number&gt;04.06.2015&lt;/number&gt;&lt;dates&gt;&lt;year&gt;2015&lt;/year&gt;&lt;/dates&gt;&lt;urls&gt;&lt;related-urls&gt;&lt;url&gt;http://ec.europa.eu/agriculture/fruit-and-vegetables/free-distribution/index_en.htm&lt;/url&gt;&lt;/related-urls&gt;&lt;/urls&gt;&lt;/record&gt;&lt;/Cite&gt;&lt;/EndNote&gt;</w:instrText>
      </w:r>
      <w:r w:rsidR="00B20EBD">
        <w:rPr>
          <w:sz w:val="24"/>
          <w:szCs w:val="24"/>
        </w:rPr>
        <w:fldChar w:fldCharType="separate"/>
      </w:r>
      <w:r w:rsidR="00B20EBD">
        <w:rPr>
          <w:noProof/>
          <w:sz w:val="24"/>
          <w:szCs w:val="24"/>
        </w:rPr>
        <w:t>(EU, 2015)</w:t>
      </w:r>
      <w:r w:rsidR="00B20EBD">
        <w:rPr>
          <w:sz w:val="24"/>
          <w:szCs w:val="24"/>
        </w:rPr>
        <w:fldChar w:fldCharType="end"/>
      </w:r>
      <w:r w:rsidR="00B20EBD">
        <w:rPr>
          <w:sz w:val="24"/>
          <w:szCs w:val="24"/>
        </w:rPr>
        <w:t>.</w:t>
      </w:r>
      <w:r w:rsidR="00792CA8">
        <w:rPr>
          <w:sz w:val="24"/>
          <w:szCs w:val="24"/>
        </w:rPr>
        <w:t xml:space="preserve"> </w:t>
      </w:r>
      <w:r w:rsidR="00C22700">
        <w:rPr>
          <w:sz w:val="24"/>
          <w:szCs w:val="24"/>
        </w:rPr>
        <w:t>Det er flere arenaer å nå barn og ungdom på. Skolen skiller seg ut grunnet det utgjør en større del av barns hverdag. Gode vaner fra barndommen tar en</w:t>
      </w:r>
      <w:r w:rsidR="005978C7">
        <w:rPr>
          <w:sz w:val="24"/>
          <w:szCs w:val="24"/>
        </w:rPr>
        <w:t xml:space="preserve"> i tillegg ofte </w:t>
      </w:r>
      <w:r w:rsidR="00C22700">
        <w:rPr>
          <w:sz w:val="24"/>
          <w:szCs w:val="24"/>
        </w:rPr>
        <w:t xml:space="preserve">med til voksen alder. </w:t>
      </w:r>
    </w:p>
    <w:p w:rsidR="00B20EBD" w:rsidRDefault="00125BE8" w:rsidP="00B24B10">
      <w:pPr>
        <w:rPr>
          <w:sz w:val="24"/>
          <w:szCs w:val="24"/>
        </w:rPr>
      </w:pPr>
      <w:r>
        <w:rPr>
          <w:sz w:val="24"/>
          <w:szCs w:val="24"/>
        </w:rPr>
        <w:t>Valget av temati</w:t>
      </w:r>
      <w:r w:rsidR="00634F71">
        <w:rPr>
          <w:sz w:val="24"/>
          <w:szCs w:val="24"/>
        </w:rPr>
        <w:t>kk og studie har sin bakgrunn i</w:t>
      </w:r>
      <w:r>
        <w:rPr>
          <w:sz w:val="24"/>
          <w:szCs w:val="24"/>
        </w:rPr>
        <w:t xml:space="preserve"> å argumentere for å gjeninnføre dette</w:t>
      </w:r>
      <w:r w:rsidR="00634F71">
        <w:rPr>
          <w:sz w:val="24"/>
          <w:szCs w:val="24"/>
        </w:rPr>
        <w:t xml:space="preserve"> tiltaket</w:t>
      </w:r>
      <w:r>
        <w:rPr>
          <w:sz w:val="24"/>
          <w:szCs w:val="24"/>
        </w:rPr>
        <w:t>.</w:t>
      </w:r>
      <w:r w:rsidR="0014313A">
        <w:rPr>
          <w:sz w:val="24"/>
          <w:szCs w:val="24"/>
        </w:rPr>
        <w:t xml:space="preserve"> </w:t>
      </w:r>
      <w:r w:rsidR="00C22700">
        <w:rPr>
          <w:sz w:val="24"/>
          <w:szCs w:val="24"/>
        </w:rPr>
        <w:t xml:space="preserve">Pensumlitteraturen har vist </w:t>
      </w:r>
      <w:r w:rsidR="0014313A">
        <w:rPr>
          <w:sz w:val="24"/>
          <w:szCs w:val="24"/>
        </w:rPr>
        <w:t xml:space="preserve">positive effekter hvor </w:t>
      </w:r>
      <w:r w:rsidR="00C22700">
        <w:rPr>
          <w:sz w:val="24"/>
          <w:szCs w:val="24"/>
        </w:rPr>
        <w:t>slike ordninger er introdusert,</w:t>
      </w:r>
      <w:r w:rsidR="0014313A">
        <w:rPr>
          <w:sz w:val="24"/>
          <w:szCs w:val="24"/>
        </w:rPr>
        <w:t xml:space="preserve"> i flere forskjellige land. For å generalisere blir en norsk studie brukt som et ek</w:t>
      </w:r>
      <w:r w:rsidR="00B20EBD">
        <w:rPr>
          <w:sz w:val="24"/>
          <w:szCs w:val="24"/>
        </w:rPr>
        <w:t>sempel.</w:t>
      </w:r>
    </w:p>
    <w:p w:rsidR="00B81CBF" w:rsidRDefault="00B81CBF" w:rsidP="00B81CBF"/>
    <w:p w:rsidR="00B81CBF" w:rsidRDefault="00B81CBF" w:rsidP="00B81CBF"/>
    <w:p w:rsidR="00B81CBF" w:rsidRPr="00B81CBF" w:rsidRDefault="00B81CBF" w:rsidP="00B81CBF"/>
    <w:p w:rsidR="0014313A" w:rsidRPr="00D10EB0" w:rsidRDefault="00B20EBD" w:rsidP="00B20EBD">
      <w:pPr>
        <w:pStyle w:val="Overskrift2"/>
        <w:rPr>
          <w:color w:val="1F4E79" w:themeColor="accent1" w:themeShade="80"/>
        </w:rPr>
      </w:pPr>
      <w:bookmarkStart w:id="7" w:name="_Toc421263275"/>
      <w:r w:rsidRPr="00D10EB0">
        <w:rPr>
          <w:color w:val="1F4E79" w:themeColor="accent1" w:themeShade="80"/>
        </w:rPr>
        <w:lastRenderedPageBreak/>
        <w:t>Kan gratis frukt &amp; grønt på skole redusere prevalens for overvekt?</w:t>
      </w:r>
      <w:bookmarkEnd w:id="7"/>
      <w:r w:rsidRPr="00D10EB0">
        <w:rPr>
          <w:color w:val="1F4E79" w:themeColor="accent1" w:themeShade="80"/>
        </w:rPr>
        <w:t xml:space="preserve"> </w:t>
      </w:r>
    </w:p>
    <w:p w:rsidR="00B20EBD" w:rsidRPr="004B4558" w:rsidRDefault="00E933E0" w:rsidP="00B20EBD">
      <w:pPr>
        <w:rPr>
          <w:sz w:val="24"/>
          <w:szCs w:val="24"/>
        </w:rPr>
      </w:pPr>
      <w:r>
        <w:rPr>
          <w:sz w:val="24"/>
          <w:szCs w:val="24"/>
        </w:rPr>
        <w:t>Bakgrunnen for studien var at både barndom og oppvekst er en gunstig tid for å promotere frukt &amp; grønt</w:t>
      </w:r>
      <w:r w:rsidR="00FF530E">
        <w:rPr>
          <w:sz w:val="24"/>
          <w:szCs w:val="24"/>
        </w:rPr>
        <w:t xml:space="preserve"> </w:t>
      </w:r>
      <w:r w:rsidR="00B20EBD" w:rsidRPr="004B4558">
        <w:rPr>
          <w:sz w:val="24"/>
          <w:szCs w:val="24"/>
        </w:rPr>
        <w:fldChar w:fldCharType="begin"/>
      </w:r>
      <w:r w:rsidR="00B20EBD" w:rsidRPr="004B4558">
        <w:rPr>
          <w:sz w:val="24"/>
          <w:szCs w:val="24"/>
        </w:rPr>
        <w:instrText xml:space="preserve"> ADDIN EN.CITE &lt;EndNote&gt;&lt;Cite&gt;&lt;Author&gt;Bere&lt;/Author&gt;&lt;Year&gt;2014&lt;/Year&gt;&lt;RecNum&gt;31&lt;/RecNum&gt;&lt;DisplayText&gt;(Bere, Klepp, &amp;amp; Overby, 2014)&lt;/DisplayText&gt;&lt;record&gt;&lt;rec-number&gt;31&lt;/rec-number&gt;&lt;foreign-keys&gt;&lt;key app="EN" db-id="advxwpzvq5dxwcerrv159tr9tpaetd992faf" timestamp="1433436937"&gt;31&lt;/key&gt;&lt;/foreign-keys&gt;&lt;ref-type name="Journal Article"&gt;17&lt;/ref-type&gt;&lt;contributors&gt;&lt;authors&gt;&lt;author&gt;Bere, E.&lt;/author&gt;&lt;author&gt;Klepp, K. I.&lt;/author&gt;&lt;author&gt;Overby, N. C.&lt;/author&gt;&lt;/authors&gt;&lt;/contributors&gt;&lt;auth-address&gt;Department of Public Health, Sport and Nutrition, University of Agder, Kristiansand, Norway.&amp;#xD;Department of Nutrition, Faculty of Medicine, University of Oslo, Oslo, Norway.&lt;/auth-address&gt;&lt;titles&gt;&lt;title&gt;Free school fruit: can an extra piece of fruit every school day contribute to the prevention of future weight gain? A cluster randomized trial&lt;/title&gt;&lt;secondary-title&gt;Food Nutr Res&lt;/secondary-title&gt;&lt;/titles&gt;&lt;periodical&gt;&lt;full-title&gt;Food Nutr Res&lt;/full-title&gt;&lt;/periodical&gt;&lt;volume&gt;58&lt;/volume&gt;&lt;edition&gt;2014/08/26&lt;/edition&gt;&lt;keywords&gt;&lt;keyword&gt;free fruit&lt;/keyword&gt;&lt;keyword&gt;fruits and vegetables&lt;/keyword&gt;&lt;keyword&gt;overweight&lt;/keyword&gt;&lt;keyword&gt;school fruit scheme&lt;/keyword&gt;&lt;keyword&gt;weight status&lt;/keyword&gt;&lt;/keywords&gt;&lt;dates&gt;&lt;year&gt;2014&lt;/year&gt;&lt;/dates&gt;&lt;isbn&gt;1654-661X (Electronic)&amp;#xD;1654-661X (Linking)&lt;/isbn&gt;&lt;accession-num&gt;25147495&lt;/accession-num&gt;&lt;urls&gt;&lt;/urls&gt;&lt;custom2&gt;PMC4131001&lt;/custom2&gt;&lt;electronic-resource-num&gt;10.3402/fnr.v58.23194&lt;/electronic-resource-num&gt;&lt;remote-database-provider&gt;NLM&lt;/remote-database-provider&gt;&lt;language&gt;eng&lt;/language&gt;&lt;/record&gt;&lt;/Cite&gt;&lt;/EndNote&gt;</w:instrText>
      </w:r>
      <w:r w:rsidR="00B20EBD" w:rsidRPr="004B4558">
        <w:rPr>
          <w:sz w:val="24"/>
          <w:szCs w:val="24"/>
        </w:rPr>
        <w:fldChar w:fldCharType="separate"/>
      </w:r>
      <w:r w:rsidR="00B20EBD" w:rsidRPr="004B4558">
        <w:rPr>
          <w:noProof/>
          <w:sz w:val="24"/>
          <w:szCs w:val="24"/>
        </w:rPr>
        <w:t>(Bere, Klepp, &amp; Overby, 2014)</w:t>
      </w:r>
      <w:r w:rsidR="00B20EBD" w:rsidRPr="004B4558">
        <w:rPr>
          <w:sz w:val="24"/>
          <w:szCs w:val="24"/>
        </w:rPr>
        <w:fldChar w:fldCharType="end"/>
      </w:r>
      <w:r w:rsidR="00B20EBD" w:rsidRPr="004B4558">
        <w:rPr>
          <w:sz w:val="24"/>
          <w:szCs w:val="24"/>
        </w:rPr>
        <w:t>. Totalt 38 skoler deltok. Intervensjonsgruppen (N=</w:t>
      </w:r>
      <w:r w:rsidR="005978C7">
        <w:rPr>
          <w:sz w:val="24"/>
          <w:szCs w:val="24"/>
        </w:rPr>
        <w:t>9) besto av 10-12 åringer fra to</w:t>
      </w:r>
      <w:r w:rsidR="00B20EBD" w:rsidRPr="004B4558">
        <w:rPr>
          <w:sz w:val="24"/>
          <w:szCs w:val="24"/>
        </w:rPr>
        <w:t xml:space="preserve"> fylker,</w:t>
      </w:r>
      <w:r w:rsidR="00FF530E">
        <w:rPr>
          <w:sz w:val="24"/>
          <w:szCs w:val="24"/>
        </w:rPr>
        <w:t xml:space="preserve"> Telemark og Hedmark og fant</w:t>
      </w:r>
      <w:r w:rsidR="00B20EBD" w:rsidRPr="004B4558">
        <w:rPr>
          <w:sz w:val="24"/>
          <w:szCs w:val="24"/>
        </w:rPr>
        <w:t xml:space="preserve"> sted i 2001. Nye follow-up studier ble utført i 2005 og 2009. Kohorten inkluderte totalt 1950 elever hvorav 966 var jenter og 984 var gutter.</w:t>
      </w:r>
      <w:r w:rsidR="004B4558" w:rsidRPr="004B4558">
        <w:rPr>
          <w:sz w:val="24"/>
          <w:szCs w:val="24"/>
        </w:rPr>
        <w:t xml:space="preserve"> I 2005 deltok 1602, i 2009 deltok 320 hvorav 282 hadde deltatt siden 2005.</w:t>
      </w:r>
      <w:r w:rsidR="00E02952">
        <w:rPr>
          <w:sz w:val="24"/>
          <w:szCs w:val="24"/>
        </w:rPr>
        <w:t xml:space="preserve"> </w:t>
      </w:r>
    </w:p>
    <w:p w:rsidR="005978C7" w:rsidRDefault="004B4558" w:rsidP="00B20EBD">
      <w:pPr>
        <w:rPr>
          <w:sz w:val="24"/>
          <w:szCs w:val="24"/>
        </w:rPr>
      </w:pPr>
      <w:r w:rsidRPr="004B4558">
        <w:rPr>
          <w:sz w:val="24"/>
          <w:szCs w:val="24"/>
        </w:rPr>
        <w:t xml:space="preserve">Ingen signifikant forskjell ble sett etter </w:t>
      </w:r>
      <w:r w:rsidR="005978C7">
        <w:rPr>
          <w:sz w:val="24"/>
          <w:szCs w:val="24"/>
        </w:rPr>
        <w:t>4</w:t>
      </w:r>
      <w:r w:rsidRPr="004B4558">
        <w:rPr>
          <w:sz w:val="24"/>
          <w:szCs w:val="24"/>
        </w:rPr>
        <w:t xml:space="preserve"> år </w:t>
      </w:r>
      <w:r w:rsidR="00DF123B">
        <w:rPr>
          <w:sz w:val="24"/>
          <w:szCs w:val="24"/>
        </w:rPr>
        <w:t>mellom gruppene for BMI, opplevd vektstatus og inntaket av frukt og grønt. E</w:t>
      </w:r>
      <w:r w:rsidR="005978C7">
        <w:rPr>
          <w:sz w:val="24"/>
          <w:szCs w:val="24"/>
        </w:rPr>
        <w:t xml:space="preserve">tter 7 </w:t>
      </w:r>
      <w:r w:rsidRPr="004B4558">
        <w:rPr>
          <w:sz w:val="24"/>
          <w:szCs w:val="24"/>
        </w:rPr>
        <w:t>år</w:t>
      </w:r>
      <w:r w:rsidR="00B20EBD" w:rsidRPr="004B4558">
        <w:rPr>
          <w:sz w:val="24"/>
          <w:szCs w:val="24"/>
        </w:rPr>
        <w:t xml:space="preserve"> </w:t>
      </w:r>
      <w:r w:rsidRPr="004B4558">
        <w:rPr>
          <w:sz w:val="24"/>
          <w:szCs w:val="24"/>
        </w:rPr>
        <w:t>var det 40% mi</w:t>
      </w:r>
      <w:r w:rsidR="00DF123B">
        <w:rPr>
          <w:sz w:val="24"/>
          <w:szCs w:val="24"/>
        </w:rPr>
        <w:t>ndre overvektige hos</w:t>
      </w:r>
      <w:r w:rsidRPr="004B4558">
        <w:rPr>
          <w:sz w:val="24"/>
          <w:szCs w:val="24"/>
        </w:rPr>
        <w:t xml:space="preserve"> intervensjon, sammenlignet mot kontroll. </w:t>
      </w:r>
      <w:r>
        <w:rPr>
          <w:sz w:val="24"/>
          <w:szCs w:val="24"/>
        </w:rPr>
        <w:t>Figur 2</w:t>
      </w:r>
      <w:r w:rsidR="00DF123B">
        <w:rPr>
          <w:sz w:val="24"/>
          <w:szCs w:val="24"/>
        </w:rPr>
        <w:t xml:space="preserve"> viser baseline, og follow up fra 2005 og 207. </w:t>
      </w:r>
    </w:p>
    <w:p w:rsidR="004B4558" w:rsidRDefault="00DF123B" w:rsidP="00B20EBD">
      <w:pPr>
        <w:rPr>
          <w:sz w:val="24"/>
          <w:szCs w:val="24"/>
        </w:rPr>
      </w:pPr>
      <w:r>
        <w:rPr>
          <w:sz w:val="24"/>
          <w:szCs w:val="24"/>
        </w:rPr>
        <w:t>Forekomsten av overvekt var 15% og 25% i de respektive to gruppene (p =0.4). Oddsratio for overvekt var 0.52 (95-% CI: 0.28-0.97) for intervensjon samm</w:t>
      </w:r>
      <w:r w:rsidR="001C013E">
        <w:rPr>
          <w:sz w:val="24"/>
          <w:szCs w:val="24"/>
        </w:rPr>
        <w:t>enlignet mot kontroll. Ved justering</w:t>
      </w:r>
      <w:r>
        <w:rPr>
          <w:sz w:val="24"/>
          <w:szCs w:val="24"/>
        </w:rPr>
        <w:t xml:space="preserve"> ble ikke denne assosiasjone</w:t>
      </w:r>
      <w:r w:rsidR="004F5A92">
        <w:rPr>
          <w:sz w:val="24"/>
          <w:szCs w:val="24"/>
        </w:rPr>
        <w:t xml:space="preserve">n lengre statistisk signifikant, men en trend </w:t>
      </w:r>
      <w:r w:rsidR="001C013E">
        <w:rPr>
          <w:sz w:val="24"/>
          <w:szCs w:val="24"/>
        </w:rPr>
        <w:t xml:space="preserve">kunne </w:t>
      </w:r>
      <w:r w:rsidR="004F5A92">
        <w:rPr>
          <w:sz w:val="24"/>
          <w:szCs w:val="24"/>
        </w:rPr>
        <w:t>sees.</w:t>
      </w:r>
    </w:p>
    <w:p w:rsidR="004B4558" w:rsidRPr="004B4558" w:rsidRDefault="004B4558" w:rsidP="00B20EBD">
      <w:pPr>
        <w:rPr>
          <w:sz w:val="24"/>
          <w:szCs w:val="24"/>
        </w:rPr>
      </w:pPr>
      <w:r>
        <w:rPr>
          <w:noProof/>
          <w:sz w:val="24"/>
          <w:szCs w:val="24"/>
          <w:lang w:eastAsia="nb-NO"/>
        </w:rPr>
        <w:drawing>
          <wp:inline distT="0" distB="0" distL="0" distR="0">
            <wp:extent cx="6343650" cy="3590925"/>
            <wp:effectExtent l="0" t="0" r="0" b="9525"/>
            <wp:docPr id="2"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ble 2.png"/>
                    <pic:cNvPicPr/>
                  </pic:nvPicPr>
                  <pic:blipFill>
                    <a:blip r:embed="rId9">
                      <a:extLst>
                        <a:ext uri="{28A0092B-C50C-407E-A947-70E740481C1C}">
                          <a14:useLocalDpi xmlns:a14="http://schemas.microsoft.com/office/drawing/2010/main" val="0"/>
                        </a:ext>
                      </a:extLst>
                    </a:blip>
                    <a:stretch>
                      <a:fillRect/>
                    </a:stretch>
                  </pic:blipFill>
                  <pic:spPr>
                    <a:xfrm>
                      <a:off x="0" y="0"/>
                      <a:ext cx="6343650" cy="3590925"/>
                    </a:xfrm>
                    <a:prstGeom prst="rect">
                      <a:avLst/>
                    </a:prstGeom>
                  </pic:spPr>
                </pic:pic>
              </a:graphicData>
            </a:graphic>
          </wp:inline>
        </w:drawing>
      </w:r>
    </w:p>
    <w:p w:rsidR="004B4558" w:rsidRDefault="004B4558" w:rsidP="00B20EBD">
      <w:pPr>
        <w:rPr>
          <w:sz w:val="20"/>
          <w:szCs w:val="20"/>
        </w:rPr>
      </w:pPr>
      <w:r w:rsidRPr="00DF123B">
        <w:rPr>
          <w:sz w:val="20"/>
          <w:szCs w:val="20"/>
        </w:rPr>
        <w:t>Figur 2. Resultater. Hentet fra «Free school fruit: can an extra piece of fruit every school day contribute to the prevention of future weight gain? A cluster randomized trial,» av Bere, Klepp, &amp; Overby, 2014</w:t>
      </w:r>
      <w:r w:rsidRPr="00DF123B">
        <w:rPr>
          <w:i/>
          <w:sz w:val="20"/>
          <w:szCs w:val="20"/>
        </w:rPr>
        <w:t xml:space="preserve">, food &amp; nutrition, </w:t>
      </w:r>
      <w:r w:rsidRPr="00DF123B">
        <w:rPr>
          <w:sz w:val="20"/>
          <w:szCs w:val="20"/>
        </w:rPr>
        <w:t>volum 58. Copyright 2015. Gjengitt med tillatelse</w:t>
      </w:r>
    </w:p>
    <w:p w:rsidR="004F5A92" w:rsidRDefault="00E02952" w:rsidP="00B20EBD">
      <w:pPr>
        <w:rPr>
          <w:rFonts w:ascii="Tahoma" w:hAnsi="Tahoma" w:cs="Tahoma"/>
          <w:color w:val="000000"/>
          <w:sz w:val="19"/>
          <w:szCs w:val="19"/>
          <w:shd w:val="clear" w:color="auto" w:fill="FFFFFF"/>
        </w:rPr>
      </w:pPr>
      <w:r>
        <w:rPr>
          <w:sz w:val="24"/>
          <w:szCs w:val="24"/>
        </w:rPr>
        <w:t>Studien har flere begrensinger. Både fruktinntak, høyde og vekt var selvrapportert etter både fire og syv år. Som Figur 2 viser mangler det ved baseline data for vekt.</w:t>
      </w:r>
      <w:r w:rsidR="00C921AA">
        <w:rPr>
          <w:sz w:val="24"/>
          <w:szCs w:val="24"/>
        </w:rPr>
        <w:t xml:space="preserve"> Forfatterne skriver at dette trolig ikke </w:t>
      </w:r>
      <w:r w:rsidR="004F5A92">
        <w:rPr>
          <w:sz w:val="24"/>
          <w:szCs w:val="24"/>
        </w:rPr>
        <w:t xml:space="preserve">har en betydning </w:t>
      </w:r>
      <w:r w:rsidR="00C921AA">
        <w:rPr>
          <w:sz w:val="24"/>
          <w:szCs w:val="24"/>
        </w:rPr>
        <w:t>da det va</w:t>
      </w:r>
      <w:r w:rsidR="004F5A92">
        <w:rPr>
          <w:sz w:val="24"/>
          <w:szCs w:val="24"/>
        </w:rPr>
        <w:t>r ingen forskjeller mellom gruppene på baseline og vil heller ikke påvirke utfallet av studien.</w:t>
      </w:r>
      <w:r>
        <w:rPr>
          <w:sz w:val="24"/>
          <w:szCs w:val="24"/>
        </w:rPr>
        <w:t xml:space="preserve"> Barn i intervensjonsgruppen hadde </w:t>
      </w:r>
      <w:r w:rsidR="00C921AA">
        <w:rPr>
          <w:sz w:val="24"/>
          <w:szCs w:val="24"/>
        </w:rPr>
        <w:t>også f</w:t>
      </w:r>
      <w:r>
        <w:rPr>
          <w:sz w:val="24"/>
          <w:szCs w:val="24"/>
        </w:rPr>
        <w:t>oreldre med høyere utdanning</w:t>
      </w:r>
      <w:r w:rsidR="001C013E">
        <w:rPr>
          <w:sz w:val="24"/>
          <w:szCs w:val="24"/>
        </w:rPr>
        <w:t>, disse kan ha hatt bedre</w:t>
      </w:r>
      <w:r w:rsidR="00C921AA">
        <w:rPr>
          <w:sz w:val="24"/>
          <w:szCs w:val="24"/>
        </w:rPr>
        <w:t xml:space="preserve"> forutsetninger for et sunt kosthold. Styrkeberegningene som ligger til rede var gjort under premisset om nok deltagere i oppfølgingsstud</w:t>
      </w:r>
      <w:r w:rsidR="001C013E">
        <w:rPr>
          <w:sz w:val="24"/>
          <w:szCs w:val="24"/>
        </w:rPr>
        <w:t xml:space="preserve">ien. Kun 16% (N=320) deltok </w:t>
      </w:r>
      <w:r w:rsidR="004F5A92">
        <w:rPr>
          <w:sz w:val="24"/>
          <w:szCs w:val="24"/>
        </w:rPr>
        <w:t xml:space="preserve">som kan ha gitt et falskt negativt resultat, det vil si at en ikke finner en effekt som </w:t>
      </w:r>
      <w:r w:rsidR="001C013E">
        <w:rPr>
          <w:sz w:val="24"/>
          <w:szCs w:val="24"/>
        </w:rPr>
        <w:t>egentlig var der, en t</w:t>
      </w:r>
      <w:r w:rsidR="004F5A92">
        <w:rPr>
          <w:sz w:val="24"/>
          <w:szCs w:val="24"/>
        </w:rPr>
        <w:t xml:space="preserve">ype-2 feil. </w:t>
      </w:r>
    </w:p>
    <w:p w:rsidR="00B81CBF" w:rsidRDefault="00B81CBF" w:rsidP="00B20EBD">
      <w:pPr>
        <w:rPr>
          <w:sz w:val="24"/>
          <w:szCs w:val="24"/>
        </w:rPr>
      </w:pPr>
    </w:p>
    <w:p w:rsidR="00B20EBD" w:rsidRPr="004B4558" w:rsidRDefault="00DF123B" w:rsidP="00B20EBD">
      <w:pPr>
        <w:rPr>
          <w:sz w:val="24"/>
          <w:szCs w:val="24"/>
        </w:rPr>
      </w:pPr>
      <w:r>
        <w:rPr>
          <w:sz w:val="24"/>
          <w:szCs w:val="24"/>
        </w:rPr>
        <w:t>Studien</w:t>
      </w:r>
      <w:r w:rsidR="004B4558" w:rsidRPr="004B4558">
        <w:rPr>
          <w:sz w:val="24"/>
          <w:szCs w:val="24"/>
        </w:rPr>
        <w:t xml:space="preserve"> </w:t>
      </w:r>
      <w:r w:rsidR="004F5A92">
        <w:rPr>
          <w:sz w:val="24"/>
          <w:szCs w:val="24"/>
        </w:rPr>
        <w:t xml:space="preserve">genererer </w:t>
      </w:r>
      <w:r w:rsidR="00E02952">
        <w:rPr>
          <w:sz w:val="24"/>
          <w:szCs w:val="24"/>
        </w:rPr>
        <w:t>langtids-</w:t>
      </w:r>
      <w:r w:rsidR="004B4558" w:rsidRPr="004B4558">
        <w:rPr>
          <w:sz w:val="24"/>
          <w:szCs w:val="24"/>
        </w:rPr>
        <w:t xml:space="preserve">data for hvordan inntaket av frukt &amp; grønt </w:t>
      </w:r>
      <w:r w:rsidR="004F5A92">
        <w:rPr>
          <w:sz w:val="24"/>
          <w:szCs w:val="24"/>
        </w:rPr>
        <w:t>kan utarte</w:t>
      </w:r>
      <w:r w:rsidR="004B4558" w:rsidRPr="004B4558">
        <w:rPr>
          <w:sz w:val="24"/>
          <w:szCs w:val="24"/>
        </w:rPr>
        <w:t xml:space="preserve"> seg</w:t>
      </w:r>
      <w:r>
        <w:rPr>
          <w:sz w:val="24"/>
          <w:szCs w:val="24"/>
        </w:rPr>
        <w:t xml:space="preserve"> i løpet av barndommen</w:t>
      </w:r>
      <w:r w:rsidR="004B4558" w:rsidRPr="004B4558">
        <w:rPr>
          <w:sz w:val="24"/>
          <w:szCs w:val="24"/>
        </w:rPr>
        <w:t>.</w:t>
      </w:r>
      <w:r w:rsidR="004B4558">
        <w:rPr>
          <w:sz w:val="24"/>
          <w:szCs w:val="24"/>
        </w:rPr>
        <w:t xml:space="preserve"> </w:t>
      </w:r>
      <w:r w:rsidR="00E933E0">
        <w:rPr>
          <w:sz w:val="24"/>
          <w:szCs w:val="24"/>
        </w:rPr>
        <w:t>Det mangler ifølge forfatterne langtidsstudier som ser på slike s</w:t>
      </w:r>
      <w:r w:rsidR="001C013E">
        <w:rPr>
          <w:sz w:val="24"/>
          <w:szCs w:val="24"/>
        </w:rPr>
        <w:t>ammenhenger hos målgruppen</w:t>
      </w:r>
      <w:r w:rsidR="00E933E0">
        <w:rPr>
          <w:sz w:val="24"/>
          <w:szCs w:val="24"/>
        </w:rPr>
        <w:t xml:space="preserve">. </w:t>
      </w:r>
      <w:r w:rsidR="004B4558">
        <w:rPr>
          <w:sz w:val="24"/>
          <w:szCs w:val="24"/>
        </w:rPr>
        <w:t xml:space="preserve">Utviklingen av </w:t>
      </w:r>
      <w:r>
        <w:rPr>
          <w:sz w:val="24"/>
          <w:szCs w:val="24"/>
        </w:rPr>
        <w:t>ugunstige matvaner kan oppstå tid</w:t>
      </w:r>
      <w:r w:rsidR="004F5A92">
        <w:rPr>
          <w:sz w:val="24"/>
          <w:szCs w:val="24"/>
        </w:rPr>
        <w:t>lig og følge</w:t>
      </w:r>
      <w:r w:rsidR="001C013E">
        <w:rPr>
          <w:sz w:val="24"/>
          <w:szCs w:val="24"/>
        </w:rPr>
        <w:t>s</w:t>
      </w:r>
      <w:r w:rsidR="004F5A92">
        <w:rPr>
          <w:sz w:val="24"/>
          <w:szCs w:val="24"/>
        </w:rPr>
        <w:t xml:space="preserve"> inn til</w:t>
      </w:r>
      <w:r>
        <w:rPr>
          <w:sz w:val="24"/>
          <w:szCs w:val="24"/>
        </w:rPr>
        <w:t xml:space="preserve"> voksen alder. Sårbare grupper som ikke-vestlige innvandrerbarn kan være mer utsatt</w:t>
      </w:r>
      <w:r w:rsidR="004B4558">
        <w:rPr>
          <w:sz w:val="24"/>
          <w:szCs w:val="24"/>
        </w:rPr>
        <w:t xml:space="preserve"> </w:t>
      </w:r>
      <w:r w:rsidR="004B4558">
        <w:rPr>
          <w:sz w:val="24"/>
          <w:szCs w:val="24"/>
        </w:rPr>
        <w:fldChar w:fldCharType="begin"/>
      </w:r>
      <w:r w:rsidR="004B4558">
        <w:rPr>
          <w:sz w:val="24"/>
          <w:szCs w:val="24"/>
        </w:rPr>
        <w:instrText xml:space="preserve"> ADDIN EN.CITE &lt;EndNote&gt;&lt;Cite&gt;&lt;Author&gt;Næss&lt;/Author&gt;&lt;Year&gt;2007&lt;/Year&gt;&lt;RecNum&gt;21&lt;/RecNum&gt;&lt;DisplayText&gt;(Næss et al., 2007)&lt;/DisplayText&gt;&lt;record&gt;&lt;rec-number&gt;21&lt;/rec-number&gt;&lt;foreign-keys&gt;&lt;key app="EN" db-id="advxwpzvq5dxwcerrv159tr9tpaetd992faf" timestamp="1433405913"&gt;21&lt;/key&gt;&lt;/foreign-keys&gt;&lt;ref-type name="Journal Article"&gt;17&lt;/ref-type&gt;&lt;contributors&gt;&lt;authors&gt;&lt;author&gt;Næss, Øyvind&lt;/author&gt;&lt;author&gt;Rognerud, Marit&lt;/author&gt;&lt;author&gt;Strand, Bjørn Heine&lt;/author&gt;&lt;/authors&gt;&lt;/contributors&gt;&lt;titles&gt;&lt;title&gt;Sosial ulikhet i helse: en faktarapport&lt;/title&gt;&lt;secondary-title&gt;Oslo: Nasjonalt folkehelseinstitutt&lt;/secondary-title&gt;&lt;/titles&gt;&lt;periodical&gt;&lt;full-title&gt;Oslo: Nasjonalt folkehelseinstitutt&lt;/full-title&gt;&lt;/periodical&gt;&lt;dates&gt;&lt;year&gt;2007&lt;/year&gt;&lt;/dates&gt;&lt;urls&gt;&lt;/urls&gt;&lt;/record&gt;&lt;/Cite&gt;&lt;/EndNote&gt;</w:instrText>
      </w:r>
      <w:r w:rsidR="004B4558">
        <w:rPr>
          <w:sz w:val="24"/>
          <w:szCs w:val="24"/>
        </w:rPr>
        <w:fldChar w:fldCharType="separate"/>
      </w:r>
      <w:r w:rsidR="004B4558">
        <w:rPr>
          <w:noProof/>
          <w:sz w:val="24"/>
          <w:szCs w:val="24"/>
        </w:rPr>
        <w:t>(Næss et al., 2007)</w:t>
      </w:r>
      <w:r w:rsidR="004B4558">
        <w:rPr>
          <w:sz w:val="24"/>
          <w:szCs w:val="24"/>
        </w:rPr>
        <w:fldChar w:fldCharType="end"/>
      </w:r>
      <w:r>
        <w:rPr>
          <w:sz w:val="24"/>
          <w:szCs w:val="24"/>
        </w:rPr>
        <w:t>.</w:t>
      </w:r>
      <w:r w:rsidR="00C921AA">
        <w:rPr>
          <w:sz w:val="24"/>
          <w:szCs w:val="24"/>
        </w:rPr>
        <w:t xml:space="preserve"> Forfatterne av denne studien konkluderer med at dette gir holdepunkter for at gratis frukt kan forebygge fremtidig overvekt hos norske skolebarn. </w:t>
      </w:r>
    </w:p>
    <w:p w:rsidR="0028630F" w:rsidRDefault="00E933E0" w:rsidP="00B24B10">
      <w:pPr>
        <w:rPr>
          <w:sz w:val="24"/>
          <w:szCs w:val="24"/>
        </w:rPr>
      </w:pPr>
      <w:r>
        <w:rPr>
          <w:sz w:val="24"/>
          <w:szCs w:val="24"/>
        </w:rPr>
        <w:t>En</w:t>
      </w:r>
      <w:r w:rsidR="00E02952">
        <w:rPr>
          <w:sz w:val="24"/>
          <w:szCs w:val="24"/>
        </w:rPr>
        <w:t xml:space="preserve"> annen norsk studie har demonstrert at ved å øke inntaket av</w:t>
      </w:r>
      <w:r w:rsidR="00C921AA">
        <w:rPr>
          <w:sz w:val="24"/>
          <w:szCs w:val="24"/>
        </w:rPr>
        <w:t xml:space="preserve"> gratis</w:t>
      </w:r>
      <w:r w:rsidR="00E02952">
        <w:rPr>
          <w:sz w:val="24"/>
          <w:szCs w:val="24"/>
        </w:rPr>
        <w:t xml:space="preserve"> </w:t>
      </w:r>
      <w:r w:rsidR="00C921AA">
        <w:rPr>
          <w:sz w:val="24"/>
          <w:szCs w:val="24"/>
        </w:rPr>
        <w:t>skole</w:t>
      </w:r>
      <w:r>
        <w:rPr>
          <w:sz w:val="24"/>
          <w:szCs w:val="24"/>
        </w:rPr>
        <w:t>frukt går</w:t>
      </w:r>
      <w:r w:rsidR="007C3E1E">
        <w:rPr>
          <w:sz w:val="24"/>
          <w:szCs w:val="24"/>
        </w:rPr>
        <w:t xml:space="preserve"> dette på bekostning </w:t>
      </w:r>
      <w:r>
        <w:rPr>
          <w:sz w:val="24"/>
          <w:szCs w:val="24"/>
        </w:rPr>
        <w:t>av andre e</w:t>
      </w:r>
      <w:r w:rsidR="007C3E1E">
        <w:rPr>
          <w:sz w:val="24"/>
          <w:szCs w:val="24"/>
        </w:rPr>
        <w:t>nergirike matvarer</w:t>
      </w:r>
      <w:r w:rsidR="00E02952">
        <w:rPr>
          <w:sz w:val="24"/>
          <w:szCs w:val="24"/>
        </w:rPr>
        <w:t xml:space="preserve">, også hos barn med lav sosioøkonomisk </w:t>
      </w:r>
      <w:r w:rsidR="00C921AA">
        <w:rPr>
          <w:sz w:val="24"/>
          <w:szCs w:val="24"/>
        </w:rPr>
        <w:t xml:space="preserve">status </w:t>
      </w:r>
      <w:r w:rsidR="00C921AA">
        <w:rPr>
          <w:sz w:val="24"/>
          <w:szCs w:val="24"/>
        </w:rPr>
        <w:fldChar w:fldCharType="begin"/>
      </w:r>
      <w:r w:rsidR="00C921AA">
        <w:rPr>
          <w:sz w:val="24"/>
          <w:szCs w:val="24"/>
        </w:rPr>
        <w:instrText xml:space="preserve"> ADDIN EN.CITE &lt;EndNote&gt;&lt;Cite&gt;&lt;Author&gt;Overby&lt;/Author&gt;&lt;Year&gt;2012&lt;/Year&gt;&lt;RecNum&gt;33&lt;/RecNum&gt;&lt;DisplayText&gt;(Overby, Klepp, &amp;amp; Bere, 2012)&lt;/DisplayText&gt;&lt;record&gt;&lt;rec-number&gt;33&lt;/rec-number&gt;&lt;foreign-keys&gt;&lt;key app="EN" db-id="advxwpzvq5dxwcerrv159tr9tpaetd992faf" timestamp="1433445143"&gt;33&lt;/key&gt;&lt;/foreign-keys&gt;&lt;ref-type name="Journal Article"&gt;17&lt;/ref-type&gt;&lt;contributors&gt;&lt;authors&gt;&lt;author&gt;Overby, N. C.&lt;/author&gt;&lt;author&gt;Klepp, K. I.&lt;/author&gt;&lt;author&gt;Bere, E.&lt;/author&gt;&lt;/authors&gt;&lt;/contributors&gt;&lt;auth-address&gt;University of Agder, Department of Public Health, Sport and Nutrition, Kristiansand, Norway. nina.c.overby@uia.no&lt;/auth-address&gt;&lt;titles&gt;&lt;title&gt;Introduction of a school fruit program is associated with reduced frequency of consumption of unhealthy snacks&lt;/title&gt;&lt;secondary-title&gt;Am J Clin Nutr&lt;/secondary-title&gt;&lt;/titles&gt;&lt;periodical&gt;&lt;full-title&gt;Am J Clin Nutr&lt;/full-title&gt;&lt;/periodical&gt;&lt;pages&gt;1100-3&lt;/pages&gt;&lt;volume&gt;96&lt;/volume&gt;&lt;number&gt;5&lt;/number&gt;&lt;edition&gt;2012/10/05&lt;/edition&gt;&lt;keywords&gt;&lt;keyword&gt;Child&lt;/keyword&gt;&lt;keyword&gt;Educational Status&lt;/keyword&gt;&lt;keyword&gt;Female&lt;/keyword&gt;&lt;keyword&gt;Food Preferences&lt;/keyword&gt;&lt;keyword&gt;Food Services&lt;/keyword&gt;&lt;keyword&gt;Fruit&lt;/keyword&gt;&lt;keyword&gt;Health Promotion/methods&lt;/keyword&gt;&lt;keyword&gt;Humans&lt;/keyword&gt;&lt;keyword&gt;Male&lt;/keyword&gt;&lt;keyword&gt;Norway&lt;/keyword&gt;&lt;keyword&gt;Questionnaires&lt;/keyword&gt;&lt;keyword&gt;School Health Services&lt;/keyword&gt;&lt;keyword&gt;Schools&lt;/keyword&gt;&lt;keyword&gt;Snacks&lt;/keyword&gt;&lt;keyword&gt;Vegetables&lt;/keyword&gt;&lt;/keywords&gt;&lt;dates&gt;&lt;year&gt;2012&lt;/year&gt;&lt;pub-dates&gt;&lt;date&gt;Nov&lt;/date&gt;&lt;/pub-dates&gt;&lt;/dates&gt;&lt;isbn&gt;1938-3207 (Electronic)&amp;#xD;0002-9165 (Linking)&lt;/isbn&gt;&lt;accession-num&gt;23034961&lt;/accession-num&gt;&lt;urls&gt;&lt;/urls&gt;&lt;electronic-resource-num&gt;10.3945/ajcn.111.033399&lt;/electronic-resource-num&gt;&lt;remote-database-provider&gt;NLM&lt;/remote-database-provider&gt;&lt;language&gt;eng&lt;/language&gt;&lt;/record&gt;&lt;/Cite&gt;&lt;/EndNote&gt;</w:instrText>
      </w:r>
      <w:r w:rsidR="00C921AA">
        <w:rPr>
          <w:sz w:val="24"/>
          <w:szCs w:val="24"/>
        </w:rPr>
        <w:fldChar w:fldCharType="separate"/>
      </w:r>
      <w:r w:rsidR="00C921AA">
        <w:rPr>
          <w:noProof/>
          <w:sz w:val="24"/>
          <w:szCs w:val="24"/>
        </w:rPr>
        <w:t>(Overby, Klepp, &amp; Bere, 2012)</w:t>
      </w:r>
      <w:r w:rsidR="00C921AA">
        <w:rPr>
          <w:sz w:val="24"/>
          <w:szCs w:val="24"/>
        </w:rPr>
        <w:fldChar w:fldCharType="end"/>
      </w:r>
      <w:r w:rsidR="00C921AA">
        <w:rPr>
          <w:sz w:val="24"/>
          <w:szCs w:val="24"/>
        </w:rPr>
        <w:t xml:space="preserve">. Resultatene fra </w:t>
      </w:r>
      <w:r w:rsidR="00C921AA">
        <w:rPr>
          <w:sz w:val="24"/>
          <w:szCs w:val="24"/>
        </w:rPr>
        <w:fldChar w:fldCharType="begin"/>
      </w:r>
      <w:r w:rsidR="00C921AA">
        <w:rPr>
          <w:sz w:val="24"/>
          <w:szCs w:val="24"/>
        </w:rPr>
        <w:instrText xml:space="preserve"> ADDIN EN.CITE &lt;EndNote&gt;&lt;Cite&gt;&lt;Author&gt;Bere&lt;/Author&gt;&lt;Year&gt;2014&lt;/Year&gt;&lt;RecNum&gt;31&lt;/RecNum&gt;&lt;DisplayText&gt;(Bere et al., 2014)&lt;/DisplayText&gt;&lt;record&gt;&lt;rec-number&gt;31&lt;/rec-number&gt;&lt;foreign-keys&gt;&lt;key app="EN" db-id="advxwpzvq5dxwcerrv159tr9tpaetd992faf" timestamp="1433436937"&gt;31&lt;/key&gt;&lt;/foreign-keys&gt;&lt;ref-type name="Journal Article"&gt;17&lt;/ref-type&gt;&lt;contributors&gt;&lt;authors&gt;&lt;author&gt;Bere, E.&lt;/author&gt;&lt;author&gt;Klepp, K. I.&lt;/author&gt;&lt;author&gt;Overby, N. C.&lt;/author&gt;&lt;/authors&gt;&lt;/contributors&gt;&lt;auth-address&gt;Department of Public Health, Sport and Nutrition, University of Agder, Kristiansand, Norway.&amp;#xD;Department of Nutrition, Faculty of Medicine, University of Oslo, Oslo, Norway.&lt;/auth-address&gt;&lt;titles&gt;&lt;title&gt;Free school fruit: can an extra piece of fruit every school day contribute to the prevention of future weight gain? A cluster randomized trial&lt;/title&gt;&lt;secondary-title&gt;Food Nutr Res&lt;/secondary-title&gt;&lt;/titles&gt;&lt;periodical&gt;&lt;full-title&gt;Food Nutr Res&lt;/full-title&gt;&lt;/periodical&gt;&lt;volume&gt;58&lt;/volume&gt;&lt;edition&gt;2014/08/26&lt;/edition&gt;&lt;keywords&gt;&lt;keyword&gt;free fruit&lt;/keyword&gt;&lt;keyword&gt;fruits and vegetables&lt;/keyword&gt;&lt;keyword&gt;overweight&lt;/keyword&gt;&lt;keyword&gt;school fruit scheme&lt;/keyword&gt;&lt;keyword&gt;weight status&lt;/keyword&gt;&lt;/keywords&gt;&lt;dates&gt;&lt;year&gt;2014&lt;/year&gt;&lt;/dates&gt;&lt;isbn&gt;1654-661X (Electronic)&amp;#xD;1654-661X (Linking)&lt;/isbn&gt;&lt;accession-num&gt;25147495&lt;/accession-num&gt;&lt;urls&gt;&lt;/urls&gt;&lt;custom2&gt;PMC4131001&lt;/custom2&gt;&lt;electronic-resource-num&gt;10.3402/fnr.v58.23194&lt;/electronic-resource-num&gt;&lt;remote-database-provider&gt;NLM&lt;/remote-database-provider&gt;&lt;language&gt;eng&lt;/language&gt;&lt;/record&gt;&lt;/Cite&gt;&lt;/EndNote&gt;</w:instrText>
      </w:r>
      <w:r w:rsidR="00C921AA">
        <w:rPr>
          <w:sz w:val="24"/>
          <w:szCs w:val="24"/>
        </w:rPr>
        <w:fldChar w:fldCharType="separate"/>
      </w:r>
      <w:r w:rsidR="00C921AA">
        <w:rPr>
          <w:noProof/>
          <w:sz w:val="24"/>
          <w:szCs w:val="24"/>
        </w:rPr>
        <w:t>(Bere et al., 2014)</w:t>
      </w:r>
      <w:r w:rsidR="00C921AA">
        <w:rPr>
          <w:sz w:val="24"/>
          <w:szCs w:val="24"/>
        </w:rPr>
        <w:fldChar w:fldCharType="end"/>
      </w:r>
      <w:r w:rsidR="00C921AA">
        <w:rPr>
          <w:sz w:val="24"/>
          <w:szCs w:val="24"/>
        </w:rPr>
        <w:t xml:space="preserve"> må sees i sammenheng med både denne og helheten av litteraturen. Det er vist at gratis skolefrukt er mer effektivt for å innta skolebarns inntak av frukt &amp; grønt, sammenlignet med andre former for abonnementsordninger. Kostandene satt opp mot effektivitet vil være høyest med gratis skolefrukt. Kapitel 3.7.4. (vedlegg</w:t>
      </w:r>
      <w:r w:rsidR="001C013E">
        <w:rPr>
          <w:sz w:val="24"/>
          <w:szCs w:val="24"/>
        </w:rPr>
        <w:t xml:space="preserve"> 7) utdyper fem modeller hvor </w:t>
      </w:r>
      <w:r w:rsidR="00C921AA">
        <w:rPr>
          <w:sz w:val="24"/>
          <w:szCs w:val="24"/>
        </w:rPr>
        <w:t xml:space="preserve">skolemåltid med medbrakt matpakke, gratis frukt eller grønnsak kommer best ut </w:t>
      </w:r>
      <w:r w:rsidR="00C921AA">
        <w:rPr>
          <w:sz w:val="24"/>
          <w:szCs w:val="24"/>
        </w:rPr>
        <w:fldChar w:fldCharType="begin"/>
      </w:r>
      <w:r w:rsidR="00F04180">
        <w:rPr>
          <w:sz w:val="24"/>
          <w:szCs w:val="24"/>
        </w:rPr>
        <w:instrText xml:space="preserve"> ADDIN EN.CITE &lt;EndNote&gt;&lt;Cite&gt;&lt;Author&gt;Kunnskapsdepartementet&lt;/Author&gt;&lt;Year&gt;2006&lt;/Year&gt;&lt;RecNum&gt;34&lt;/RecNum&gt;&lt;DisplayText&gt;(Kunnskapsdepartementet, 2006)&lt;/DisplayText&gt;&lt;record&gt;&lt;rec-number&gt;34&lt;/rec-number&gt;&lt;foreign-keys&gt;&lt;key app="EN" db-id="advxwpzvq5dxwcerrv159tr9tpaetd992faf" timestamp="1433446335"&gt;34&lt;/key&gt;&lt;/foreign-keys&gt;&lt;ref-type name="Web Page"&gt;12&lt;/ref-type&gt;&lt;contributors&gt;&lt;authors&gt;&lt;author&gt;Kunnskapsdepartementet&lt;/author&gt;&lt;/authors&gt;&lt;/contributors&gt;&lt;titles&gt;&lt;title&gt;Skolemåltidet i grunnskolen. Nytte- og kostnadsvirkninger og vurderinger av ulike skolemåltidsmodeller&lt;/title&gt;&lt;/titles&gt;&lt;number&gt;04.06.2015&lt;/number&gt;&lt;dates&gt;&lt;year&gt;2006&lt;/year&gt;&lt;/dates&gt;&lt;urls&gt;&lt;related-urls&gt;&lt;url&gt;https://www.regjeringen.no/globalassets/upload/kilde/kd/rap/2006/0008/ddd/pdfv/284882-skolemaltid_26.06.06.pdf&lt;/url&gt;&lt;/related-urls&gt;&lt;/urls&gt;&lt;/record&gt;&lt;/Cite&gt;&lt;/EndNote&gt;</w:instrText>
      </w:r>
      <w:r w:rsidR="00C921AA">
        <w:rPr>
          <w:sz w:val="24"/>
          <w:szCs w:val="24"/>
        </w:rPr>
        <w:fldChar w:fldCharType="separate"/>
      </w:r>
      <w:r w:rsidR="00C921AA">
        <w:rPr>
          <w:noProof/>
          <w:sz w:val="24"/>
          <w:szCs w:val="24"/>
        </w:rPr>
        <w:t>(Kunnskapsdepartementet, 2006)</w:t>
      </w:r>
      <w:r w:rsidR="00C921AA">
        <w:rPr>
          <w:sz w:val="24"/>
          <w:szCs w:val="24"/>
        </w:rPr>
        <w:fldChar w:fldCharType="end"/>
      </w:r>
      <w:r w:rsidR="00C921AA">
        <w:rPr>
          <w:sz w:val="24"/>
          <w:szCs w:val="24"/>
        </w:rPr>
        <w:t xml:space="preserve">. </w:t>
      </w:r>
      <w:r w:rsidR="001C013E">
        <w:rPr>
          <w:sz w:val="24"/>
          <w:szCs w:val="24"/>
        </w:rPr>
        <w:br/>
      </w:r>
      <w:r w:rsidR="00C921AA">
        <w:rPr>
          <w:sz w:val="24"/>
          <w:szCs w:val="24"/>
        </w:rPr>
        <w:t xml:space="preserve">Det eksisterer gode nok holdepunkter for å revurdere innføringen av denne ordningen.   </w:t>
      </w:r>
    </w:p>
    <w:p w:rsidR="002A2482" w:rsidRPr="00D10EB0" w:rsidRDefault="002A2482" w:rsidP="002A2482">
      <w:pPr>
        <w:pStyle w:val="Overskrift2"/>
        <w:rPr>
          <w:color w:val="1F4E79" w:themeColor="accent1" w:themeShade="80"/>
        </w:rPr>
      </w:pPr>
      <w:bookmarkStart w:id="8" w:name="_Toc421263276"/>
      <w:r w:rsidRPr="00D10EB0">
        <w:rPr>
          <w:color w:val="1F4E79" w:themeColor="accent1" w:themeShade="80"/>
        </w:rPr>
        <w:t>Sluttord</w:t>
      </w:r>
      <w:r w:rsidR="00F41D3C" w:rsidRPr="00D10EB0">
        <w:rPr>
          <w:color w:val="1F4E79" w:themeColor="accent1" w:themeShade="80"/>
        </w:rPr>
        <w:t xml:space="preserve"> og egne tanker</w:t>
      </w:r>
      <w:bookmarkEnd w:id="8"/>
    </w:p>
    <w:p w:rsidR="00F41E20" w:rsidRDefault="007260D4" w:rsidP="00F41E20">
      <w:pPr>
        <w:rPr>
          <w:sz w:val="24"/>
          <w:szCs w:val="24"/>
        </w:rPr>
      </w:pPr>
      <w:r>
        <w:rPr>
          <w:sz w:val="24"/>
          <w:szCs w:val="24"/>
        </w:rPr>
        <w:t xml:space="preserve">Samfunnsernæring besitter </w:t>
      </w:r>
      <w:r w:rsidR="00F121B6">
        <w:rPr>
          <w:sz w:val="24"/>
          <w:szCs w:val="24"/>
        </w:rPr>
        <w:t xml:space="preserve">god </w:t>
      </w:r>
      <w:r w:rsidR="002A2482">
        <w:rPr>
          <w:sz w:val="24"/>
          <w:szCs w:val="24"/>
        </w:rPr>
        <w:t xml:space="preserve">og unik </w:t>
      </w:r>
      <w:r>
        <w:rPr>
          <w:sz w:val="24"/>
          <w:szCs w:val="24"/>
        </w:rPr>
        <w:t xml:space="preserve">kunnskap som kan </w:t>
      </w:r>
      <w:r w:rsidR="00F121B6">
        <w:rPr>
          <w:sz w:val="24"/>
          <w:szCs w:val="24"/>
        </w:rPr>
        <w:t>bremse og stoppe dagens fedmeepidemi</w:t>
      </w:r>
      <w:r w:rsidR="002A2482">
        <w:rPr>
          <w:sz w:val="24"/>
          <w:szCs w:val="24"/>
        </w:rPr>
        <w:t>. F</w:t>
      </w:r>
      <w:r w:rsidR="00F121B6">
        <w:rPr>
          <w:sz w:val="24"/>
          <w:szCs w:val="24"/>
        </w:rPr>
        <w:t xml:space="preserve">okuset </w:t>
      </w:r>
      <w:r w:rsidR="002A2482">
        <w:rPr>
          <w:sz w:val="24"/>
          <w:szCs w:val="24"/>
        </w:rPr>
        <w:t>vårt er mer pri</w:t>
      </w:r>
      <w:r w:rsidR="007635FA">
        <w:rPr>
          <w:sz w:val="24"/>
          <w:szCs w:val="24"/>
        </w:rPr>
        <w:t>mo</w:t>
      </w:r>
      <w:r w:rsidR="00E25B47">
        <w:rPr>
          <w:sz w:val="24"/>
          <w:szCs w:val="24"/>
        </w:rPr>
        <w:t>r</w:t>
      </w:r>
      <w:r w:rsidR="007635FA">
        <w:rPr>
          <w:sz w:val="24"/>
          <w:szCs w:val="24"/>
        </w:rPr>
        <w:t>d</w:t>
      </w:r>
      <w:r w:rsidR="00E25B47">
        <w:rPr>
          <w:sz w:val="24"/>
          <w:szCs w:val="24"/>
        </w:rPr>
        <w:t>i</w:t>
      </w:r>
      <w:r w:rsidR="007635FA">
        <w:rPr>
          <w:sz w:val="24"/>
          <w:szCs w:val="24"/>
        </w:rPr>
        <w:t>al</w:t>
      </w:r>
      <w:r w:rsidR="002A2482">
        <w:rPr>
          <w:sz w:val="24"/>
          <w:szCs w:val="24"/>
        </w:rPr>
        <w:t>, snarere enn</w:t>
      </w:r>
      <w:r w:rsidR="00F121B6">
        <w:rPr>
          <w:sz w:val="24"/>
          <w:szCs w:val="24"/>
        </w:rPr>
        <w:t xml:space="preserve"> sekundær</w:t>
      </w:r>
      <w:r w:rsidR="002A2482">
        <w:rPr>
          <w:sz w:val="24"/>
          <w:szCs w:val="24"/>
        </w:rPr>
        <w:t xml:space="preserve"> forebygging</w:t>
      </w:r>
      <w:r w:rsidR="00AC1479">
        <w:rPr>
          <w:sz w:val="24"/>
          <w:szCs w:val="24"/>
        </w:rPr>
        <w:t xml:space="preserve"> og slik best forhindre at overvekt oppstår. Det bør være målet.</w:t>
      </w:r>
      <w:r w:rsidR="002A2482">
        <w:rPr>
          <w:sz w:val="24"/>
          <w:szCs w:val="24"/>
        </w:rPr>
        <w:t xml:space="preserve"> Tidligere har det vært fokus rundt farmakologisk utdannelse samt atfer</w:t>
      </w:r>
      <w:r w:rsidR="00AA7766">
        <w:rPr>
          <w:sz w:val="24"/>
          <w:szCs w:val="24"/>
        </w:rPr>
        <w:t>dersintervensjoner med begrensende</w:t>
      </w:r>
      <w:r w:rsidR="002A2482">
        <w:rPr>
          <w:sz w:val="24"/>
          <w:szCs w:val="24"/>
        </w:rPr>
        <w:t xml:space="preserve"> resultat</w:t>
      </w:r>
      <w:r w:rsidR="00AA7766">
        <w:rPr>
          <w:sz w:val="24"/>
          <w:szCs w:val="24"/>
        </w:rPr>
        <w:t>er</w:t>
      </w:r>
      <w:r w:rsidR="002A2482">
        <w:rPr>
          <w:sz w:val="24"/>
          <w:szCs w:val="24"/>
        </w:rPr>
        <w:t>.</w:t>
      </w:r>
      <w:r w:rsidR="00F121B6">
        <w:rPr>
          <w:sz w:val="24"/>
          <w:szCs w:val="24"/>
        </w:rPr>
        <w:t xml:space="preserve"> </w:t>
      </w:r>
      <w:r w:rsidR="000132A9">
        <w:rPr>
          <w:sz w:val="24"/>
          <w:szCs w:val="24"/>
        </w:rPr>
        <w:t>Å dokumentere en effekt av ulike metoder for vektreduksjon er krevende. Som en konsekvens finnes det mye litteratur om ulike metoder for vektreduksjon. Lite av dette har den samme kvaliteten av vitenskapelig dokumentasjon sammenlignet med andre helseråd</w:t>
      </w:r>
      <w:r w:rsidR="00F1343D">
        <w:rPr>
          <w:sz w:val="24"/>
          <w:szCs w:val="24"/>
        </w:rPr>
        <w:t xml:space="preserve">. </w:t>
      </w:r>
      <w:r w:rsidR="00F1343D">
        <w:rPr>
          <w:sz w:val="24"/>
          <w:szCs w:val="24"/>
        </w:rPr>
        <w:br/>
      </w:r>
      <w:r w:rsidR="00F1343D">
        <w:rPr>
          <w:sz w:val="24"/>
          <w:szCs w:val="24"/>
        </w:rPr>
        <w:br/>
      </w:r>
      <w:r w:rsidR="00394B9E">
        <w:rPr>
          <w:sz w:val="24"/>
          <w:szCs w:val="24"/>
        </w:rPr>
        <w:t xml:space="preserve">Hvor ligger hovedansvaret? </w:t>
      </w:r>
      <w:r w:rsidR="00ED40F2">
        <w:rPr>
          <w:sz w:val="24"/>
          <w:szCs w:val="24"/>
        </w:rPr>
        <w:t xml:space="preserve">«Spis mindre og beveg deg mer» blir for reduksjonistisk. Få overvektige ønsker å være det. </w:t>
      </w:r>
      <w:r w:rsidR="002A2482">
        <w:rPr>
          <w:sz w:val="24"/>
          <w:szCs w:val="24"/>
        </w:rPr>
        <w:t>D</w:t>
      </w:r>
      <w:r w:rsidR="00394B9E">
        <w:rPr>
          <w:sz w:val="24"/>
          <w:szCs w:val="24"/>
        </w:rPr>
        <w:t xml:space="preserve">et </w:t>
      </w:r>
      <w:r w:rsidR="00F41E20">
        <w:rPr>
          <w:sz w:val="24"/>
          <w:szCs w:val="24"/>
        </w:rPr>
        <w:t>hjelper lite om befolkningen blir lært opp til å bli «gode sjåfører» om «veiene» som staten har ansvar for, mangler vedlikehold og dermed blir utrygt å ferdes</w:t>
      </w:r>
      <w:r w:rsidR="00394B9E">
        <w:rPr>
          <w:sz w:val="24"/>
          <w:szCs w:val="24"/>
        </w:rPr>
        <w:t xml:space="preserve"> i</w:t>
      </w:r>
      <w:r w:rsidR="0036062C">
        <w:rPr>
          <w:sz w:val="24"/>
          <w:szCs w:val="24"/>
        </w:rPr>
        <w:t xml:space="preserve">. Å etablere en dedikert etat som er ansvarlig for fedme nasjonalt anbefales. </w:t>
      </w:r>
      <w:r w:rsidR="007C6DBC">
        <w:rPr>
          <w:sz w:val="24"/>
          <w:szCs w:val="24"/>
        </w:rPr>
        <w:br/>
      </w:r>
      <w:r w:rsidR="0036062C">
        <w:rPr>
          <w:sz w:val="24"/>
          <w:szCs w:val="24"/>
        </w:rPr>
        <w:t>Norge med</w:t>
      </w:r>
      <w:r w:rsidR="007C6DBC">
        <w:rPr>
          <w:sz w:val="24"/>
          <w:szCs w:val="24"/>
        </w:rPr>
        <w:t xml:space="preserve"> den relative nye studieretningen</w:t>
      </w:r>
      <w:r w:rsidR="0036062C">
        <w:rPr>
          <w:sz w:val="24"/>
          <w:szCs w:val="24"/>
        </w:rPr>
        <w:t xml:space="preserve"> </w:t>
      </w:r>
      <w:r w:rsidR="007C6DBC">
        <w:rPr>
          <w:sz w:val="24"/>
          <w:szCs w:val="24"/>
        </w:rPr>
        <w:t>S</w:t>
      </w:r>
      <w:r w:rsidR="0036062C">
        <w:rPr>
          <w:sz w:val="24"/>
          <w:szCs w:val="24"/>
        </w:rPr>
        <w:t xml:space="preserve">amfunnsernæring </w:t>
      </w:r>
      <w:r w:rsidR="007C6DBC">
        <w:rPr>
          <w:sz w:val="24"/>
          <w:szCs w:val="24"/>
        </w:rPr>
        <w:t>vil kunne bidra positivt her</w:t>
      </w:r>
      <w:r w:rsidR="00394B9E">
        <w:rPr>
          <w:sz w:val="24"/>
          <w:szCs w:val="24"/>
        </w:rPr>
        <w:t xml:space="preserve"> </w:t>
      </w:r>
      <w:r w:rsidR="00F1343D">
        <w:rPr>
          <w:sz w:val="24"/>
          <w:szCs w:val="24"/>
        </w:rPr>
        <w:fldChar w:fldCharType="begin"/>
      </w:r>
      <w:r w:rsidR="00F1343D">
        <w:rPr>
          <w:sz w:val="24"/>
          <w:szCs w:val="24"/>
        </w:rPr>
        <w:instrText xml:space="preserve"> ADDIN EN.CITE &lt;EndNote&gt;&lt;Cite&gt;&lt;Author&gt;Lean&lt;/Author&gt;&lt;Year&gt;2006&lt;/Year&gt;&lt;RecNum&gt;35&lt;/RecNum&gt;&lt;DisplayText&gt;(Lean, Gruer, Alberti, &amp;amp; Sattar, 2006)&lt;/DisplayText&gt;&lt;record&gt;&lt;rec-number&gt;35&lt;/rec-number&gt;&lt;foreign-keys&gt;&lt;key app="EN" db-id="advxwpzvq5dxwcerrv159tr9tpaetd992faf" timestamp="1433492073"&gt;35&lt;/key&gt;&lt;/foreign-keys&gt;&lt;ref-type name="Journal Article"&gt;17&lt;/ref-type&gt;&lt;contributors&gt;&lt;authors&gt;&lt;author&gt;Lean, Mike&lt;/author&gt;&lt;author&gt;Gruer, Laurence&lt;/author&gt;&lt;author&gt;Alberti, George&lt;/author&gt;&lt;author&gt;Sattar, Naveed&lt;/author&gt;&lt;/authors&gt;&lt;/contributors&gt;&lt;titles&gt;&lt;title&gt;Obesity—can we turn the tide?&lt;/title&gt;&lt;secondary-title&gt;BMJ : British Medical Journal&lt;/secondary-title&gt;&lt;/titles&gt;&lt;periodical&gt;&lt;full-title&gt;BMJ : British Medical Journal&lt;/full-title&gt;&lt;/periodical&gt;&lt;pages&gt;1261-1264&lt;/pages&gt;&lt;volume&gt;333&lt;/volume&gt;&lt;number&gt;7581&lt;/number&gt;&lt;dates&gt;&lt;year&gt;2006&lt;/year&gt;&lt;/dates&gt;&lt;publisher&gt;BMJ Publishing Group Ltd.&lt;/publisher&gt;&lt;isbn&gt;0959-8138&amp;#xD;1468-5833&lt;/isbn&gt;&lt;accession-num&gt;PMC1702473&lt;/accession-num&gt;&lt;urls&gt;&lt;related-urls&gt;&lt;url&gt;http://www.ncbi.nlm.nih.gov/pmc/articles/PMC1702473/&lt;/url&gt;&lt;/related-urls&gt;&lt;/urls&gt;&lt;electronic-resource-num&gt;10.1136/bmj.39049.626076.68&lt;/electronic-resource-num&gt;&lt;remote-database-name&gt;PMC&lt;/remote-database-name&gt;&lt;/record&gt;&lt;/Cite&gt;&lt;/EndNote&gt;</w:instrText>
      </w:r>
      <w:r w:rsidR="00F1343D">
        <w:rPr>
          <w:sz w:val="24"/>
          <w:szCs w:val="24"/>
        </w:rPr>
        <w:fldChar w:fldCharType="separate"/>
      </w:r>
      <w:r w:rsidR="00F1343D">
        <w:rPr>
          <w:noProof/>
          <w:sz w:val="24"/>
          <w:szCs w:val="24"/>
        </w:rPr>
        <w:t>(Lean, Gruer, Alberti, &amp; Sattar, 2006)</w:t>
      </w:r>
      <w:r w:rsidR="00F1343D">
        <w:rPr>
          <w:sz w:val="24"/>
          <w:szCs w:val="24"/>
        </w:rPr>
        <w:fldChar w:fldCharType="end"/>
      </w:r>
      <w:r w:rsidR="00ED40F2">
        <w:rPr>
          <w:sz w:val="24"/>
          <w:szCs w:val="24"/>
        </w:rPr>
        <w:t>.</w:t>
      </w:r>
    </w:p>
    <w:p w:rsidR="00F35907" w:rsidRDefault="00DD6C1D" w:rsidP="00F41E20">
      <w:pPr>
        <w:rPr>
          <w:sz w:val="24"/>
          <w:szCs w:val="24"/>
        </w:rPr>
      </w:pPr>
      <w:r>
        <w:rPr>
          <w:sz w:val="24"/>
          <w:szCs w:val="24"/>
        </w:rPr>
        <w:t xml:space="preserve">Det trengs </w:t>
      </w:r>
      <w:r w:rsidR="00F35907">
        <w:rPr>
          <w:sz w:val="24"/>
          <w:szCs w:val="24"/>
        </w:rPr>
        <w:t xml:space="preserve">å </w:t>
      </w:r>
      <w:r>
        <w:rPr>
          <w:sz w:val="24"/>
          <w:szCs w:val="24"/>
        </w:rPr>
        <w:t>forstå for å</w:t>
      </w:r>
      <w:r w:rsidR="00F35907">
        <w:rPr>
          <w:sz w:val="24"/>
          <w:szCs w:val="24"/>
        </w:rPr>
        <w:t xml:space="preserve"> legge til rett</w:t>
      </w:r>
      <w:r w:rsidR="00E64DE5">
        <w:rPr>
          <w:sz w:val="24"/>
          <w:szCs w:val="24"/>
        </w:rPr>
        <w:t>e et miljø som oppfordrer til å nå de</w:t>
      </w:r>
      <w:r w:rsidR="00F35907">
        <w:rPr>
          <w:sz w:val="24"/>
          <w:szCs w:val="24"/>
        </w:rPr>
        <w:t xml:space="preserve"> daglige anbefalingene rundt fysisk </w:t>
      </w:r>
      <w:r>
        <w:rPr>
          <w:sz w:val="24"/>
          <w:szCs w:val="24"/>
        </w:rPr>
        <w:t>aktivitet.</w:t>
      </w:r>
      <w:r w:rsidR="00E64DE5">
        <w:rPr>
          <w:sz w:val="24"/>
          <w:szCs w:val="24"/>
        </w:rPr>
        <w:t xml:space="preserve"> Det anbefales en aktiv bruk av prising for å få folk til å velge sunn mat. Det anbefales regulering av salg og markedsføring av usunne matprod</w:t>
      </w:r>
      <w:r>
        <w:rPr>
          <w:sz w:val="24"/>
          <w:szCs w:val="24"/>
        </w:rPr>
        <w:t>ukter, spesielt mot barn og unge som er en lettere påvirkelig gruppe i samfunnet.</w:t>
      </w:r>
    </w:p>
    <w:p w:rsidR="002B5690" w:rsidRPr="00D10EB0" w:rsidRDefault="002A2482" w:rsidP="002A2482">
      <w:pPr>
        <w:pStyle w:val="Overskrift2"/>
        <w:rPr>
          <w:color w:val="1F4E79" w:themeColor="accent1" w:themeShade="80"/>
        </w:rPr>
      </w:pPr>
      <w:bookmarkStart w:id="9" w:name="_Toc421263277"/>
      <w:r w:rsidRPr="00D10EB0">
        <w:rPr>
          <w:color w:val="1F4E79" w:themeColor="accent1" w:themeShade="80"/>
        </w:rPr>
        <w:t>Konklusjon</w:t>
      </w:r>
      <w:bookmarkEnd w:id="9"/>
    </w:p>
    <w:p w:rsidR="00AC1479" w:rsidRDefault="00D7202B" w:rsidP="002A2482">
      <w:pPr>
        <w:rPr>
          <w:sz w:val="24"/>
          <w:szCs w:val="24"/>
        </w:rPr>
      </w:pPr>
      <w:r>
        <w:rPr>
          <w:sz w:val="24"/>
          <w:szCs w:val="24"/>
        </w:rPr>
        <w:t>Evidensbasert ernærings-sensitiv</w:t>
      </w:r>
      <w:r w:rsidR="00E25B47">
        <w:rPr>
          <w:sz w:val="24"/>
          <w:szCs w:val="24"/>
        </w:rPr>
        <w:t xml:space="preserve"> politikk</w:t>
      </w:r>
      <w:r>
        <w:rPr>
          <w:sz w:val="24"/>
          <w:szCs w:val="24"/>
        </w:rPr>
        <w:t xml:space="preserve"> bør promoteres</w:t>
      </w:r>
      <w:r w:rsidR="00E25B47">
        <w:rPr>
          <w:sz w:val="24"/>
          <w:szCs w:val="24"/>
        </w:rPr>
        <w:t>. Innføring av</w:t>
      </w:r>
      <w:r w:rsidR="00C921AA">
        <w:rPr>
          <w:sz w:val="24"/>
          <w:szCs w:val="24"/>
        </w:rPr>
        <w:t xml:space="preserve"> gratis frukt &amp; grønt til al</w:t>
      </w:r>
      <w:r w:rsidR="00E25B47">
        <w:rPr>
          <w:sz w:val="24"/>
          <w:szCs w:val="24"/>
        </w:rPr>
        <w:t>le barn og ungdom i grunnskolen kan virke forebyggende mot overvekt.</w:t>
      </w:r>
      <w:r w:rsidR="003C511F">
        <w:rPr>
          <w:sz w:val="24"/>
          <w:szCs w:val="24"/>
        </w:rPr>
        <w:t xml:space="preserve"> Tematikken er kompleks og trengs å forstås på både makro- og mikronivå for å lage gode intervensjoner.</w:t>
      </w:r>
    </w:p>
    <w:p w:rsidR="006C6A68" w:rsidRPr="002A2482" w:rsidRDefault="006C6A68" w:rsidP="002A2482">
      <w:pPr>
        <w:rPr>
          <w:sz w:val="24"/>
          <w:szCs w:val="24"/>
        </w:rPr>
      </w:pPr>
      <w:bookmarkStart w:id="10" w:name="_GoBack"/>
      <w:bookmarkEnd w:id="10"/>
    </w:p>
    <w:p w:rsidR="002B5690" w:rsidRPr="00D10EB0" w:rsidRDefault="002A2482" w:rsidP="002A2482">
      <w:pPr>
        <w:pStyle w:val="Overskrift2"/>
        <w:rPr>
          <w:color w:val="1F4E79" w:themeColor="accent1" w:themeShade="80"/>
        </w:rPr>
      </w:pPr>
      <w:bookmarkStart w:id="11" w:name="_Toc421263278"/>
      <w:r w:rsidRPr="00D10EB0">
        <w:rPr>
          <w:color w:val="1F4E79" w:themeColor="accent1" w:themeShade="80"/>
        </w:rPr>
        <w:lastRenderedPageBreak/>
        <w:t>Referanser</w:t>
      </w:r>
      <w:bookmarkEnd w:id="11"/>
    </w:p>
    <w:p w:rsidR="00F1343D" w:rsidRPr="00F1343D" w:rsidRDefault="002B5690" w:rsidP="00F1343D">
      <w:pPr>
        <w:pStyle w:val="EndNoteBibliography"/>
        <w:spacing w:after="0"/>
        <w:ind w:left="720" w:hanging="720"/>
      </w:pPr>
      <w:r>
        <w:rPr>
          <w:sz w:val="24"/>
          <w:szCs w:val="24"/>
        </w:rPr>
        <w:fldChar w:fldCharType="begin"/>
      </w:r>
      <w:r>
        <w:rPr>
          <w:sz w:val="24"/>
          <w:szCs w:val="24"/>
        </w:rPr>
        <w:instrText xml:space="preserve"> ADDIN EN.REFLIST </w:instrText>
      </w:r>
      <w:r>
        <w:rPr>
          <w:sz w:val="24"/>
          <w:szCs w:val="24"/>
        </w:rPr>
        <w:fldChar w:fldCharType="separate"/>
      </w:r>
      <w:r w:rsidR="00F1343D" w:rsidRPr="00F1343D">
        <w:t xml:space="preserve">Anjana, R. M., Ali, M. K., Pradeepa, R., Deepa, M., Datta, M., Unnikrishnan, R., . . . Mohan, V. (2011). The need for obtaining accurate nationwide estimates of diabetes prevalence in India - rationale for a national study on diabetes. </w:t>
      </w:r>
      <w:r w:rsidR="00F1343D" w:rsidRPr="00F1343D">
        <w:rPr>
          <w:i/>
        </w:rPr>
        <w:t>Indian J Med Res, 133</w:t>
      </w:r>
      <w:r w:rsidR="00F1343D" w:rsidRPr="00F1343D">
        <w:t xml:space="preserve">, 369-380. </w:t>
      </w:r>
    </w:p>
    <w:p w:rsidR="00F1343D" w:rsidRPr="00F1343D" w:rsidRDefault="00F1343D" w:rsidP="00F1343D">
      <w:pPr>
        <w:pStyle w:val="EndNoteBibliography"/>
        <w:spacing w:after="0"/>
        <w:ind w:left="720" w:hanging="720"/>
      </w:pPr>
      <w:r w:rsidRPr="00F1343D">
        <w:t xml:space="preserve">Bere, E., Klepp, K. I., &amp; Overby, N. C. (2014). Free school fruit: can an extra piece of fruit every school day contribute to the prevention of future weight gain? A cluster randomized trial. </w:t>
      </w:r>
      <w:r w:rsidRPr="00F1343D">
        <w:rPr>
          <w:i/>
        </w:rPr>
        <w:t>Food Nutr Res, 58</w:t>
      </w:r>
      <w:r w:rsidRPr="00F1343D">
        <w:t>. doi: 10.3402/fnr.v58.23194</w:t>
      </w:r>
    </w:p>
    <w:p w:rsidR="00F1343D" w:rsidRPr="00F1343D" w:rsidRDefault="00F1343D" w:rsidP="00F1343D">
      <w:pPr>
        <w:pStyle w:val="EndNoteBibliography"/>
        <w:spacing w:after="0"/>
        <w:ind w:left="720" w:hanging="720"/>
      </w:pPr>
      <w:r w:rsidRPr="00F1343D">
        <w:t xml:space="preserve">Butland, B., Jebb, S., Kopelman, P., McPherson, K., Thomas, S., Mardell, J., &amp; Parry, V. (2007). </w:t>
      </w:r>
      <w:r w:rsidRPr="00F1343D">
        <w:rPr>
          <w:i/>
        </w:rPr>
        <w:t>Tackling Obesities: Future Choices: Project Report</w:t>
      </w:r>
      <w:r w:rsidRPr="00F1343D">
        <w:t>: Citeseer.</w:t>
      </w:r>
    </w:p>
    <w:p w:rsidR="00F1343D" w:rsidRPr="00F1343D" w:rsidRDefault="00F1343D" w:rsidP="00F1343D">
      <w:pPr>
        <w:pStyle w:val="EndNoteBibliography"/>
        <w:spacing w:after="0"/>
        <w:ind w:left="720" w:hanging="720"/>
      </w:pPr>
      <w:r w:rsidRPr="00F1343D">
        <w:t xml:space="preserve">Dahl, E., Bergsli, H., &amp; van der Wel, K. (2014). Sosial ulikhet i helse: En norsk kunnskapsoversikt. </w:t>
      </w:r>
      <w:r w:rsidRPr="00F1343D">
        <w:rPr>
          <w:i/>
        </w:rPr>
        <w:t>Oslo: Høgskolen i Oslo og Akershus, Fakultet for samfunnsfag/Sosialforsk</w:t>
      </w:r>
      <w:r w:rsidRPr="00F1343D">
        <w:t xml:space="preserve">. </w:t>
      </w:r>
    </w:p>
    <w:p w:rsidR="00F1343D" w:rsidRPr="00F1343D" w:rsidRDefault="00F1343D" w:rsidP="00F1343D">
      <w:pPr>
        <w:pStyle w:val="EndNoteBibliography"/>
        <w:spacing w:after="0"/>
        <w:ind w:left="720" w:hanging="720"/>
      </w:pPr>
      <w:r w:rsidRPr="00F1343D">
        <w:t xml:space="preserve">EU. (2015). Agriculture and Rural Development - Fruit and vegetables: Free distribution.   Retrieved 04.06.2015, from </w:t>
      </w:r>
      <w:hyperlink r:id="rId10" w:history="1">
        <w:r w:rsidRPr="00F1343D">
          <w:rPr>
            <w:rStyle w:val="Hyperkobling"/>
          </w:rPr>
          <w:t>http://ec.europa.eu/agriculture/fruit-and-vegetables/free-distribution/index_en.htm</w:t>
        </w:r>
      </w:hyperlink>
    </w:p>
    <w:p w:rsidR="00F1343D" w:rsidRPr="00F1343D" w:rsidRDefault="00F1343D" w:rsidP="00F1343D">
      <w:pPr>
        <w:pStyle w:val="EndNoteBibliography"/>
        <w:spacing w:after="0"/>
        <w:ind w:left="720" w:hanging="720"/>
      </w:pPr>
      <w:r w:rsidRPr="00F1343D">
        <w:t xml:space="preserve">Folkehelseinsuttittet. (2014, 09.04.2015). Overvekt og fedme - Folkehelserapporten 2014.   Retrieved 03.06.2015, from </w:t>
      </w:r>
      <w:hyperlink r:id="rId11" w:history="1">
        <w:r w:rsidRPr="00F1343D">
          <w:rPr>
            <w:rStyle w:val="Hyperkobling"/>
          </w:rPr>
          <w:t>http://www.fhi.no/artikler/?id=110553</w:t>
        </w:r>
      </w:hyperlink>
    </w:p>
    <w:p w:rsidR="00F1343D" w:rsidRPr="00F1343D" w:rsidRDefault="00F1343D" w:rsidP="00F1343D">
      <w:pPr>
        <w:pStyle w:val="EndNoteBibliography"/>
        <w:spacing w:after="0"/>
        <w:ind w:left="720" w:hanging="720"/>
      </w:pPr>
      <w:r w:rsidRPr="00F1343D">
        <w:t xml:space="preserve">Helsedirektoratet. (2014). Samfunnsutvikling for god folkehelse  (2014-2018).   Retrieved 04.06.2015, from </w:t>
      </w:r>
      <w:hyperlink r:id="rId12" w:history="1">
        <w:r w:rsidRPr="00F1343D">
          <w:rPr>
            <w:rStyle w:val="Hyperkobling"/>
          </w:rPr>
          <w:t>https://helsedirektoratet.no/Lists/Publikasjoner/Attachments/311/Samfunnsutvikling-for-god-folkehelse-IS-2203.pdf</w:t>
        </w:r>
      </w:hyperlink>
    </w:p>
    <w:p w:rsidR="00F1343D" w:rsidRPr="00F1343D" w:rsidRDefault="00F1343D" w:rsidP="00F1343D">
      <w:pPr>
        <w:pStyle w:val="EndNoteBibliography"/>
        <w:spacing w:after="0"/>
        <w:ind w:left="720" w:hanging="720"/>
      </w:pPr>
      <w:r w:rsidRPr="00F1343D">
        <w:t xml:space="preserve">Kennedy, G., Nantel, G., &amp; Shetty, P. (2006). The double burden of malnutrition: case studies from six developing countries. </w:t>
      </w:r>
      <w:r w:rsidRPr="00F1343D">
        <w:rPr>
          <w:i/>
        </w:rPr>
        <w:t>Rome: Nutrition Planning, Assessment and Evaluation Service, Food and Agriculture Organization of the United Nations</w:t>
      </w:r>
      <w:r w:rsidRPr="00F1343D">
        <w:t xml:space="preserve">. </w:t>
      </w:r>
    </w:p>
    <w:p w:rsidR="00F1343D" w:rsidRPr="00F1343D" w:rsidRDefault="00F1343D" w:rsidP="00F1343D">
      <w:pPr>
        <w:pStyle w:val="EndNoteBibliography"/>
        <w:spacing w:after="0"/>
        <w:ind w:left="720" w:hanging="720"/>
      </w:pPr>
      <w:r w:rsidRPr="00F1343D">
        <w:t xml:space="preserve">Kunnskapsdepartementet. (2006). Skolemåltidet i grunnskolen. Nytte- og kostnadsvirkninger og vurderinger av ulike skolemåltidsmodeller.   Retrieved 04.06.2015, from </w:t>
      </w:r>
      <w:hyperlink r:id="rId13" w:history="1">
        <w:r w:rsidRPr="00F1343D">
          <w:rPr>
            <w:rStyle w:val="Hyperkobling"/>
          </w:rPr>
          <w:t>https://www.regjeringen.no/globalassets/upload/kilde/kd/rap/2006/0008/ddd/pdfv/284882-skolemaltid_26.06.06.pdf</w:t>
        </w:r>
      </w:hyperlink>
    </w:p>
    <w:p w:rsidR="00F1343D" w:rsidRPr="00F1343D" w:rsidRDefault="00F1343D" w:rsidP="00F1343D">
      <w:pPr>
        <w:pStyle w:val="EndNoteBibliography"/>
        <w:spacing w:after="0"/>
        <w:ind w:left="720" w:hanging="720"/>
      </w:pPr>
      <w:r w:rsidRPr="00F1343D">
        <w:t xml:space="preserve">Lake, A., &amp; Townshend, T. (2006). Obesogenic environments: exploring the built and food environments. </w:t>
      </w:r>
      <w:r w:rsidRPr="00F1343D">
        <w:rPr>
          <w:i/>
        </w:rPr>
        <w:t>J R Soc Promot Health, 126</w:t>
      </w:r>
      <w:r w:rsidRPr="00F1343D">
        <w:t xml:space="preserve">(6), 262-267. </w:t>
      </w:r>
    </w:p>
    <w:p w:rsidR="00F1343D" w:rsidRPr="00F1343D" w:rsidRDefault="00F1343D" w:rsidP="00F1343D">
      <w:pPr>
        <w:pStyle w:val="EndNoteBibliography"/>
        <w:spacing w:after="0"/>
        <w:ind w:left="720" w:hanging="720"/>
      </w:pPr>
      <w:r w:rsidRPr="00F1343D">
        <w:t xml:space="preserve">Lean, M., Gruer, L., Alberti, G., &amp; Sattar, N. (2006). Obesity—can we turn the tide? </w:t>
      </w:r>
      <w:r w:rsidRPr="00F1343D">
        <w:rPr>
          <w:i/>
        </w:rPr>
        <w:t>BMJ : British Medical Journal, 333</w:t>
      </w:r>
      <w:r w:rsidRPr="00F1343D">
        <w:t>(7581), 1261-1264. doi: 10.1136/bmj.39049.626076.68</w:t>
      </w:r>
    </w:p>
    <w:p w:rsidR="00F1343D" w:rsidRPr="00F1343D" w:rsidRDefault="00F1343D" w:rsidP="00F1343D">
      <w:pPr>
        <w:pStyle w:val="EndNoteBibliography"/>
        <w:spacing w:after="0"/>
        <w:ind w:left="720" w:hanging="720"/>
      </w:pPr>
      <w:r w:rsidRPr="00F1343D">
        <w:t xml:space="preserve">Mandel, A. L., &amp; Breslin, P. A. (2012). High endogenous salivary amylase activity is associated with improved glycemic homeostasis following starch ingestion in adults. </w:t>
      </w:r>
      <w:r w:rsidRPr="00F1343D">
        <w:rPr>
          <w:i/>
        </w:rPr>
        <w:t>J Nutr, 142</w:t>
      </w:r>
      <w:r w:rsidRPr="00F1343D">
        <w:t>(5), 853-858. doi: 10.3945/jn.111.156984</w:t>
      </w:r>
    </w:p>
    <w:p w:rsidR="00F1343D" w:rsidRPr="00F1343D" w:rsidRDefault="00F1343D" w:rsidP="00F1343D">
      <w:pPr>
        <w:pStyle w:val="EndNoteBibliography"/>
        <w:spacing w:after="0"/>
        <w:ind w:left="720" w:hanging="720"/>
      </w:pPr>
      <w:r w:rsidRPr="00F1343D">
        <w:t xml:space="preserve">Næss, Ø., Rognerud, M., &amp; Strand, B. H. (2007). Sosial ulikhet i helse: en faktarapport. </w:t>
      </w:r>
      <w:r w:rsidRPr="00F1343D">
        <w:rPr>
          <w:i/>
        </w:rPr>
        <w:t>Oslo: Nasjonalt folkehelseinstitutt</w:t>
      </w:r>
      <w:r w:rsidRPr="00F1343D">
        <w:t xml:space="preserve">. </w:t>
      </w:r>
    </w:p>
    <w:p w:rsidR="00F1343D" w:rsidRPr="00F1343D" w:rsidRDefault="00F1343D" w:rsidP="00F1343D">
      <w:pPr>
        <w:pStyle w:val="EndNoteBibliography"/>
        <w:spacing w:after="0"/>
        <w:ind w:left="720" w:hanging="720"/>
      </w:pPr>
      <w:r w:rsidRPr="00F1343D">
        <w:t xml:space="preserve">Overby, N. C., Klepp, K. I., &amp; Bere, E. (2012). Introduction of a school fruit program is associated with reduced frequency of consumption of unhealthy snacks. </w:t>
      </w:r>
      <w:r w:rsidRPr="00F1343D">
        <w:rPr>
          <w:i/>
        </w:rPr>
        <w:t>Am J Clin Nutr, 96</w:t>
      </w:r>
      <w:r w:rsidRPr="00F1343D">
        <w:t>(5), 1100-1103. doi: 10.3945/ajcn.111.033399</w:t>
      </w:r>
    </w:p>
    <w:p w:rsidR="00F1343D" w:rsidRPr="00F1343D" w:rsidRDefault="00F1343D" w:rsidP="00F1343D">
      <w:pPr>
        <w:pStyle w:val="EndNoteBibliography"/>
        <w:spacing w:after="0"/>
        <w:ind w:left="720" w:hanging="720"/>
      </w:pPr>
      <w:r w:rsidRPr="00F1343D">
        <w:t xml:space="preserve">Popkin, B. M. (2004). The nutrition transition: an overview of world patterns of change. </w:t>
      </w:r>
      <w:r w:rsidRPr="00F1343D">
        <w:rPr>
          <w:i/>
        </w:rPr>
        <w:t>Nutr Rev, 62</w:t>
      </w:r>
      <w:r w:rsidRPr="00F1343D">
        <w:t xml:space="preserve">(7 Pt 2), S140-143. </w:t>
      </w:r>
    </w:p>
    <w:p w:rsidR="00F1343D" w:rsidRPr="00F1343D" w:rsidRDefault="00F1343D" w:rsidP="00F1343D">
      <w:pPr>
        <w:pStyle w:val="EndNoteBibliography"/>
        <w:spacing w:after="0"/>
        <w:ind w:left="720" w:hanging="720"/>
      </w:pPr>
      <w:r w:rsidRPr="00F1343D">
        <w:t xml:space="preserve">Popkin, B. M., Adair, L. S., &amp; Ng, S. W. (2012). NOW AND THEN: The Global Nutrition Transition: The Pandemic of Obesity in Developing Countries. </w:t>
      </w:r>
      <w:r w:rsidRPr="00F1343D">
        <w:rPr>
          <w:i/>
        </w:rPr>
        <w:t>Nutrition Reviews, 70</w:t>
      </w:r>
      <w:r w:rsidRPr="00F1343D">
        <w:t>(1), 3-21. doi: 10.1111/j.1753-4887.2011.00456.x</w:t>
      </w:r>
    </w:p>
    <w:p w:rsidR="00F1343D" w:rsidRPr="00F1343D" w:rsidRDefault="00F1343D" w:rsidP="00F1343D">
      <w:pPr>
        <w:pStyle w:val="EndNoteBibliography"/>
        <w:spacing w:after="0"/>
        <w:ind w:left="720" w:hanging="720"/>
      </w:pPr>
      <w:r w:rsidRPr="00F1343D">
        <w:rPr>
          <w:i/>
        </w:rPr>
        <w:t>Recommended Dietary Allowances: 10th Edition</w:t>
      </w:r>
      <w:r w:rsidRPr="00F1343D">
        <w:t>. (1989). Washington DC: 1989 by the National Academy of Sciences.</w:t>
      </w:r>
    </w:p>
    <w:p w:rsidR="00F1343D" w:rsidRPr="00F1343D" w:rsidRDefault="00F1343D" w:rsidP="00F1343D">
      <w:pPr>
        <w:pStyle w:val="EndNoteBibliography"/>
        <w:spacing w:after="0"/>
        <w:ind w:left="720" w:hanging="720"/>
      </w:pPr>
      <w:r w:rsidRPr="00F1343D">
        <w:t xml:space="preserve">Regjeringen. (2007). Del 3 Oppfølging av Nasjonal helseplan (2007-2010). </w:t>
      </w:r>
      <w:r w:rsidRPr="00F1343D">
        <w:rPr>
          <w:i/>
        </w:rPr>
        <w:t>St.prp. nr. 1 (2007-2008).</w:t>
      </w:r>
      <w:r w:rsidRPr="00F1343D">
        <w:t xml:space="preserve"> from </w:t>
      </w:r>
      <w:hyperlink r:id="rId14" w:history="1">
        <w:r w:rsidRPr="00F1343D">
          <w:rPr>
            <w:rStyle w:val="Hyperkobling"/>
          </w:rPr>
          <w:t>https://www.regjeringen.no/nb/dokumenter/stprp-nr-1-2007-2008-/id483671/?docId=STP200720080001HODDDDEPIS&amp;q=&amp;navchap=1&amp;ch=3</w:t>
        </w:r>
      </w:hyperlink>
    </w:p>
    <w:p w:rsidR="00F1343D" w:rsidRPr="00F1343D" w:rsidRDefault="00F1343D" w:rsidP="00F1343D">
      <w:pPr>
        <w:pStyle w:val="EndNoteBibliography"/>
        <w:spacing w:after="0"/>
        <w:ind w:left="720" w:hanging="720"/>
      </w:pPr>
      <w:r w:rsidRPr="00F1343D">
        <w:t xml:space="preserve">Shaw, M. (2005). Health Inequality: An Introduction to Theories, Concepts and Methods. Mel Bartley. Cambridge: Polity Press, 2004, pp. 224, £16.99 (PB), ISBN: 0745627803. </w:t>
      </w:r>
      <w:r w:rsidRPr="00F1343D">
        <w:rPr>
          <w:i/>
        </w:rPr>
        <w:t>International Journal of Epidemiology, 34</w:t>
      </w:r>
      <w:r w:rsidRPr="00F1343D">
        <w:t>(2), 500-502. doi: 10.1093/ije/dyi053</w:t>
      </w:r>
    </w:p>
    <w:p w:rsidR="00F1343D" w:rsidRPr="00F1343D" w:rsidRDefault="00F1343D" w:rsidP="00F1343D">
      <w:pPr>
        <w:pStyle w:val="EndNoteBibliography"/>
        <w:spacing w:after="0"/>
        <w:ind w:left="720" w:hanging="720"/>
      </w:pPr>
      <w:r w:rsidRPr="00F1343D">
        <w:lastRenderedPageBreak/>
        <w:t xml:space="preserve">WHO. (2008). </w:t>
      </w:r>
      <w:r w:rsidRPr="00F1343D">
        <w:rPr>
          <w:i/>
        </w:rPr>
        <w:t>Closing the Gap in a Generation: Health Equity Through Action on the Social Determinants of Health: Commission on Social Determinants of Health Final Report</w:t>
      </w:r>
      <w:r w:rsidRPr="00F1343D">
        <w:t>: WHO.</w:t>
      </w:r>
    </w:p>
    <w:p w:rsidR="00F1343D" w:rsidRPr="00F1343D" w:rsidRDefault="00F1343D" w:rsidP="00F1343D">
      <w:pPr>
        <w:pStyle w:val="EndNoteBibliography"/>
        <w:ind w:left="720" w:hanging="720"/>
      </w:pPr>
      <w:r w:rsidRPr="00F1343D">
        <w:t xml:space="preserve">WHO. (2015, Januar 2015). WHO'obesity and overweight.   Retrieved 03.06.2015, from </w:t>
      </w:r>
      <w:hyperlink r:id="rId15" w:history="1">
        <w:r w:rsidRPr="00F1343D">
          <w:rPr>
            <w:rStyle w:val="Hyperkobling"/>
          </w:rPr>
          <w:t>http://www.who.int/mediacentre/factsheets/fs311/en/</w:t>
        </w:r>
      </w:hyperlink>
    </w:p>
    <w:p w:rsidR="00C22700" w:rsidRDefault="002B5690" w:rsidP="00C22700">
      <w:pPr>
        <w:rPr>
          <w:sz w:val="24"/>
          <w:szCs w:val="24"/>
        </w:rPr>
      </w:pPr>
      <w:r>
        <w:rPr>
          <w:sz w:val="24"/>
          <w:szCs w:val="24"/>
        </w:rPr>
        <w:fldChar w:fldCharType="end"/>
      </w:r>
      <w:r w:rsidR="00C22700">
        <w:rPr>
          <w:sz w:val="24"/>
          <w:szCs w:val="24"/>
        </w:rPr>
        <w:t xml:space="preserve"> </w:t>
      </w:r>
    </w:p>
    <w:sectPr w:rsidR="00C22700" w:rsidSect="00D33CF5">
      <w:headerReference w:type="even" r:id="rId16"/>
      <w:headerReference w:type="default" r:id="rId17"/>
      <w:footerReference w:type="even" r:id="rId18"/>
      <w:footerReference w:type="default" r:id="rId19"/>
      <w:headerReference w:type="first" r:id="rId20"/>
      <w:footerReference w:type="first" r:id="rId21"/>
      <w:pgSz w:w="11906" w:h="16838" w:code="9"/>
      <w:pgMar w:top="1418" w:right="1418" w:bottom="1418" w:left="1418"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866B7" w:rsidRDefault="006866B7" w:rsidP="003238FE">
      <w:pPr>
        <w:spacing w:after="0" w:line="240" w:lineRule="auto"/>
      </w:pPr>
      <w:r>
        <w:separator/>
      </w:r>
    </w:p>
  </w:endnote>
  <w:endnote w:type="continuationSeparator" w:id="0">
    <w:p w:rsidR="006866B7" w:rsidRDefault="006866B7" w:rsidP="003238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144C" w:rsidRDefault="00C1144C">
    <w:pPr>
      <w:pStyle w:val="Bunnteks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23601340"/>
      <w:docPartObj>
        <w:docPartGallery w:val="Page Numbers (Bottom of Page)"/>
        <w:docPartUnique/>
      </w:docPartObj>
    </w:sdtPr>
    <w:sdtEndPr/>
    <w:sdtContent>
      <w:p w:rsidR="00D25FB0" w:rsidRDefault="00D25FB0">
        <w:pPr>
          <w:pStyle w:val="Bunntekst"/>
          <w:jc w:val="center"/>
        </w:pPr>
        <w:r>
          <w:fldChar w:fldCharType="begin"/>
        </w:r>
        <w:r>
          <w:instrText>PAGE   \* MERGEFORMAT</w:instrText>
        </w:r>
        <w:r>
          <w:fldChar w:fldCharType="separate"/>
        </w:r>
        <w:r w:rsidR="00C1144C">
          <w:rPr>
            <w:noProof/>
          </w:rPr>
          <w:t>9</w:t>
        </w:r>
        <w:r>
          <w:fldChar w:fldCharType="end"/>
        </w:r>
      </w:p>
    </w:sdtContent>
  </w:sdt>
  <w:p w:rsidR="00D25FB0" w:rsidRDefault="00D25FB0">
    <w:pPr>
      <w:pStyle w:val="Bunnteks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144C" w:rsidRDefault="00C1144C">
    <w:pPr>
      <w:pStyle w:val="Bunn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866B7" w:rsidRDefault="006866B7" w:rsidP="003238FE">
      <w:pPr>
        <w:spacing w:after="0" w:line="240" w:lineRule="auto"/>
      </w:pPr>
      <w:r>
        <w:separator/>
      </w:r>
    </w:p>
  </w:footnote>
  <w:footnote w:type="continuationSeparator" w:id="0">
    <w:p w:rsidR="006866B7" w:rsidRDefault="006866B7" w:rsidP="003238F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144C" w:rsidRDefault="00C1144C">
    <w:pPr>
      <w:pStyle w:val="Toppteks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144C" w:rsidRDefault="00C1144C">
    <w:pPr>
      <w:pStyle w:val="Toppteks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144C" w:rsidRDefault="00C1144C">
    <w:pPr>
      <w:pStyle w:val="Toppteks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dvxwpzvq5dxwcerrv159tr9tpaetd992faf&quot;&gt;My EndNote Library&lt;record-ids&gt;&lt;item&gt;3&lt;/item&gt;&lt;item&gt;5&lt;/item&gt;&lt;item&gt;8&lt;/item&gt;&lt;item&gt;10&lt;/item&gt;&lt;item&gt;11&lt;/item&gt;&lt;item&gt;13&lt;/item&gt;&lt;item&gt;15&lt;/item&gt;&lt;item&gt;16&lt;/item&gt;&lt;item&gt;19&lt;/item&gt;&lt;item&gt;20&lt;/item&gt;&lt;item&gt;21&lt;/item&gt;&lt;item&gt;24&lt;/item&gt;&lt;item&gt;26&lt;/item&gt;&lt;item&gt;27&lt;/item&gt;&lt;item&gt;28&lt;/item&gt;&lt;item&gt;29&lt;/item&gt;&lt;item&gt;31&lt;/item&gt;&lt;item&gt;32&lt;/item&gt;&lt;item&gt;33&lt;/item&gt;&lt;item&gt;34&lt;/item&gt;&lt;item&gt;35&lt;/item&gt;&lt;/record-ids&gt;&lt;/item&gt;&lt;/Libraries&gt;"/>
  </w:docVars>
  <w:rsids>
    <w:rsidRoot w:val="00B24B10"/>
    <w:rsid w:val="000132A9"/>
    <w:rsid w:val="00050FC8"/>
    <w:rsid w:val="00052FDB"/>
    <w:rsid w:val="000643C5"/>
    <w:rsid w:val="00090C35"/>
    <w:rsid w:val="000B30B3"/>
    <w:rsid w:val="000C5FE1"/>
    <w:rsid w:val="000F524B"/>
    <w:rsid w:val="00125BE8"/>
    <w:rsid w:val="0012780A"/>
    <w:rsid w:val="00137DE4"/>
    <w:rsid w:val="0014313A"/>
    <w:rsid w:val="00160341"/>
    <w:rsid w:val="00165EB5"/>
    <w:rsid w:val="0016765C"/>
    <w:rsid w:val="001875CD"/>
    <w:rsid w:val="001B2D2A"/>
    <w:rsid w:val="001B4C9D"/>
    <w:rsid w:val="001B6F9B"/>
    <w:rsid w:val="001C0023"/>
    <w:rsid w:val="001C013E"/>
    <w:rsid w:val="001E3BEF"/>
    <w:rsid w:val="002536EA"/>
    <w:rsid w:val="0028630F"/>
    <w:rsid w:val="00286B84"/>
    <w:rsid w:val="002A2482"/>
    <w:rsid w:val="002B0CA9"/>
    <w:rsid w:val="002B5690"/>
    <w:rsid w:val="002F1411"/>
    <w:rsid w:val="00315341"/>
    <w:rsid w:val="003238FE"/>
    <w:rsid w:val="0036062C"/>
    <w:rsid w:val="00394B9E"/>
    <w:rsid w:val="003C511F"/>
    <w:rsid w:val="00423096"/>
    <w:rsid w:val="004258AA"/>
    <w:rsid w:val="00444B76"/>
    <w:rsid w:val="004B4558"/>
    <w:rsid w:val="004C1CD0"/>
    <w:rsid w:val="004C54C9"/>
    <w:rsid w:val="004F5A92"/>
    <w:rsid w:val="005271A8"/>
    <w:rsid w:val="0055296A"/>
    <w:rsid w:val="00561977"/>
    <w:rsid w:val="005978C7"/>
    <w:rsid w:val="005C7928"/>
    <w:rsid w:val="005D2084"/>
    <w:rsid w:val="00614347"/>
    <w:rsid w:val="00634F71"/>
    <w:rsid w:val="0065326A"/>
    <w:rsid w:val="00654A46"/>
    <w:rsid w:val="00655080"/>
    <w:rsid w:val="00661430"/>
    <w:rsid w:val="00676253"/>
    <w:rsid w:val="006818EE"/>
    <w:rsid w:val="006866B7"/>
    <w:rsid w:val="00697AD2"/>
    <w:rsid w:val="006A5F68"/>
    <w:rsid w:val="006C6A68"/>
    <w:rsid w:val="00710042"/>
    <w:rsid w:val="007260D4"/>
    <w:rsid w:val="007635FA"/>
    <w:rsid w:val="00792C48"/>
    <w:rsid w:val="00792CA8"/>
    <w:rsid w:val="007C3E1E"/>
    <w:rsid w:val="007C6DBC"/>
    <w:rsid w:val="00813DD2"/>
    <w:rsid w:val="00820258"/>
    <w:rsid w:val="008473B7"/>
    <w:rsid w:val="008B5F84"/>
    <w:rsid w:val="008C24B2"/>
    <w:rsid w:val="008C26F0"/>
    <w:rsid w:val="008F0BBC"/>
    <w:rsid w:val="00927CFF"/>
    <w:rsid w:val="009A578B"/>
    <w:rsid w:val="009F6D48"/>
    <w:rsid w:val="00A26839"/>
    <w:rsid w:val="00A95C9B"/>
    <w:rsid w:val="00AA7766"/>
    <w:rsid w:val="00AB0697"/>
    <w:rsid w:val="00AC1479"/>
    <w:rsid w:val="00AC69A5"/>
    <w:rsid w:val="00AE7E71"/>
    <w:rsid w:val="00B101CD"/>
    <w:rsid w:val="00B20EBD"/>
    <w:rsid w:val="00B24B10"/>
    <w:rsid w:val="00B32CBD"/>
    <w:rsid w:val="00B67BC9"/>
    <w:rsid w:val="00B70912"/>
    <w:rsid w:val="00B81CBF"/>
    <w:rsid w:val="00B95E80"/>
    <w:rsid w:val="00BD395D"/>
    <w:rsid w:val="00BE4023"/>
    <w:rsid w:val="00C075EE"/>
    <w:rsid w:val="00C1144C"/>
    <w:rsid w:val="00C22700"/>
    <w:rsid w:val="00C31EE5"/>
    <w:rsid w:val="00C511ED"/>
    <w:rsid w:val="00C81201"/>
    <w:rsid w:val="00C921AA"/>
    <w:rsid w:val="00CF07B5"/>
    <w:rsid w:val="00D10EB0"/>
    <w:rsid w:val="00D25FB0"/>
    <w:rsid w:val="00D33CF5"/>
    <w:rsid w:val="00D4695E"/>
    <w:rsid w:val="00D55AFA"/>
    <w:rsid w:val="00D6078D"/>
    <w:rsid w:val="00D7202B"/>
    <w:rsid w:val="00D8754C"/>
    <w:rsid w:val="00D95816"/>
    <w:rsid w:val="00DA358D"/>
    <w:rsid w:val="00DD6C1D"/>
    <w:rsid w:val="00DF123B"/>
    <w:rsid w:val="00E02952"/>
    <w:rsid w:val="00E178F3"/>
    <w:rsid w:val="00E25B47"/>
    <w:rsid w:val="00E61AA4"/>
    <w:rsid w:val="00E64DE5"/>
    <w:rsid w:val="00E933E0"/>
    <w:rsid w:val="00EB5835"/>
    <w:rsid w:val="00ED40F2"/>
    <w:rsid w:val="00EF7650"/>
    <w:rsid w:val="00F0106D"/>
    <w:rsid w:val="00F04180"/>
    <w:rsid w:val="00F121B6"/>
    <w:rsid w:val="00F1343D"/>
    <w:rsid w:val="00F2599D"/>
    <w:rsid w:val="00F35907"/>
    <w:rsid w:val="00F41D3C"/>
    <w:rsid w:val="00F41E20"/>
    <w:rsid w:val="00F75828"/>
    <w:rsid w:val="00FC3F06"/>
    <w:rsid w:val="00FF530E"/>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Overskrift1">
    <w:name w:val="heading 1"/>
    <w:basedOn w:val="Normal"/>
    <w:next w:val="Normal"/>
    <w:link w:val="Overskrift1Tegn"/>
    <w:uiPriority w:val="9"/>
    <w:qFormat/>
    <w:rsid w:val="00B24B1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Overskrift2">
    <w:name w:val="heading 2"/>
    <w:basedOn w:val="Normal"/>
    <w:next w:val="Normal"/>
    <w:link w:val="Overskrift2Tegn"/>
    <w:uiPriority w:val="9"/>
    <w:unhideWhenUsed/>
    <w:qFormat/>
    <w:rsid w:val="00F7582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Overskrift3">
    <w:name w:val="heading 3"/>
    <w:basedOn w:val="Normal"/>
    <w:next w:val="Normal"/>
    <w:link w:val="Overskrift3Tegn"/>
    <w:uiPriority w:val="9"/>
    <w:unhideWhenUsed/>
    <w:qFormat/>
    <w:rsid w:val="00813DD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B24B10"/>
    <w:rPr>
      <w:rFonts w:asciiTheme="majorHAnsi" w:eastAsiaTheme="majorEastAsia" w:hAnsiTheme="majorHAnsi" w:cstheme="majorBidi"/>
      <w:color w:val="2E74B5" w:themeColor="accent1" w:themeShade="BF"/>
      <w:sz w:val="32"/>
      <w:szCs w:val="32"/>
    </w:rPr>
  </w:style>
  <w:style w:type="character" w:customStyle="1" w:styleId="apple-converted-space">
    <w:name w:val="apple-converted-space"/>
    <w:basedOn w:val="Standardskriftforavsnitt"/>
    <w:rsid w:val="002B5690"/>
  </w:style>
  <w:style w:type="paragraph" w:customStyle="1" w:styleId="EndNoteBibliographyTitle">
    <w:name w:val="EndNote Bibliography Title"/>
    <w:basedOn w:val="Normal"/>
    <w:link w:val="EndNoteBibliographyTitleTegn"/>
    <w:rsid w:val="002B5690"/>
    <w:pPr>
      <w:spacing w:after="0"/>
      <w:jc w:val="center"/>
    </w:pPr>
    <w:rPr>
      <w:rFonts w:ascii="Calibri" w:hAnsi="Calibri"/>
      <w:noProof/>
      <w:lang w:val="en-US"/>
    </w:rPr>
  </w:style>
  <w:style w:type="character" w:customStyle="1" w:styleId="EndNoteBibliographyTitleTegn">
    <w:name w:val="EndNote Bibliography Title Tegn"/>
    <w:basedOn w:val="Standardskriftforavsnitt"/>
    <w:link w:val="EndNoteBibliographyTitle"/>
    <w:rsid w:val="002B5690"/>
    <w:rPr>
      <w:rFonts w:ascii="Calibri" w:hAnsi="Calibri"/>
      <w:noProof/>
      <w:lang w:val="en-US"/>
    </w:rPr>
  </w:style>
  <w:style w:type="paragraph" w:customStyle="1" w:styleId="EndNoteBibliography">
    <w:name w:val="EndNote Bibliography"/>
    <w:basedOn w:val="Normal"/>
    <w:link w:val="EndNoteBibliographyTegn"/>
    <w:rsid w:val="002B5690"/>
    <w:pPr>
      <w:spacing w:line="240" w:lineRule="auto"/>
    </w:pPr>
    <w:rPr>
      <w:rFonts w:ascii="Calibri" w:hAnsi="Calibri"/>
      <w:noProof/>
      <w:lang w:val="en-US"/>
    </w:rPr>
  </w:style>
  <w:style w:type="character" w:customStyle="1" w:styleId="EndNoteBibliographyTegn">
    <w:name w:val="EndNote Bibliography Tegn"/>
    <w:basedOn w:val="Standardskriftforavsnitt"/>
    <w:link w:val="EndNoteBibliography"/>
    <w:rsid w:val="002B5690"/>
    <w:rPr>
      <w:rFonts w:ascii="Calibri" w:hAnsi="Calibri"/>
      <w:noProof/>
      <w:lang w:val="en-US"/>
    </w:rPr>
  </w:style>
  <w:style w:type="character" w:customStyle="1" w:styleId="Overskrift2Tegn">
    <w:name w:val="Overskrift 2 Tegn"/>
    <w:basedOn w:val="Standardskriftforavsnitt"/>
    <w:link w:val="Overskrift2"/>
    <w:uiPriority w:val="9"/>
    <w:rsid w:val="00F75828"/>
    <w:rPr>
      <w:rFonts w:asciiTheme="majorHAnsi" w:eastAsiaTheme="majorEastAsia" w:hAnsiTheme="majorHAnsi" w:cstheme="majorBidi"/>
      <w:color w:val="2E74B5" w:themeColor="accent1" w:themeShade="BF"/>
      <w:sz w:val="26"/>
      <w:szCs w:val="26"/>
    </w:rPr>
  </w:style>
  <w:style w:type="character" w:styleId="Hyperkobling">
    <w:name w:val="Hyperlink"/>
    <w:basedOn w:val="Standardskriftforavsnitt"/>
    <w:uiPriority w:val="99"/>
    <w:unhideWhenUsed/>
    <w:rsid w:val="00D8754C"/>
    <w:rPr>
      <w:color w:val="0563C1" w:themeColor="hyperlink"/>
      <w:u w:val="single"/>
    </w:rPr>
  </w:style>
  <w:style w:type="character" w:customStyle="1" w:styleId="Overskrift3Tegn">
    <w:name w:val="Overskrift 3 Tegn"/>
    <w:basedOn w:val="Standardskriftforavsnitt"/>
    <w:link w:val="Overskrift3"/>
    <w:uiPriority w:val="9"/>
    <w:rsid w:val="00813DD2"/>
    <w:rPr>
      <w:rFonts w:asciiTheme="majorHAnsi" w:eastAsiaTheme="majorEastAsia" w:hAnsiTheme="majorHAnsi" w:cstheme="majorBidi"/>
      <w:color w:val="1F4D78" w:themeColor="accent1" w:themeShade="7F"/>
      <w:sz w:val="24"/>
      <w:szCs w:val="24"/>
    </w:rPr>
  </w:style>
  <w:style w:type="paragraph" w:styleId="Brdtekst">
    <w:name w:val="Body Text"/>
    <w:basedOn w:val="Normal"/>
    <w:link w:val="BrdtekstTegn"/>
    <w:uiPriority w:val="99"/>
    <w:semiHidden/>
    <w:unhideWhenUsed/>
    <w:rsid w:val="00B67BC9"/>
    <w:pPr>
      <w:spacing w:after="120"/>
    </w:pPr>
  </w:style>
  <w:style w:type="character" w:customStyle="1" w:styleId="BrdtekstTegn">
    <w:name w:val="Brødtekst Tegn"/>
    <w:basedOn w:val="Standardskriftforavsnitt"/>
    <w:link w:val="Brdtekst"/>
    <w:uiPriority w:val="99"/>
    <w:semiHidden/>
    <w:rsid w:val="00B67BC9"/>
  </w:style>
  <w:style w:type="paragraph" w:styleId="Bobletekst">
    <w:name w:val="Balloon Text"/>
    <w:basedOn w:val="Normal"/>
    <w:link w:val="BobletekstTegn"/>
    <w:uiPriority w:val="99"/>
    <w:semiHidden/>
    <w:unhideWhenUsed/>
    <w:rsid w:val="00160341"/>
    <w:pPr>
      <w:spacing w:after="0" w:line="240" w:lineRule="auto"/>
    </w:pPr>
    <w:rPr>
      <w:rFonts w:ascii="Segoe UI" w:hAnsi="Segoe UI" w:cs="Segoe UI"/>
      <w:sz w:val="18"/>
      <w:szCs w:val="18"/>
    </w:rPr>
  </w:style>
  <w:style w:type="character" w:customStyle="1" w:styleId="BobletekstTegn">
    <w:name w:val="Bobletekst Tegn"/>
    <w:basedOn w:val="Standardskriftforavsnitt"/>
    <w:link w:val="Bobletekst"/>
    <w:uiPriority w:val="99"/>
    <w:semiHidden/>
    <w:rsid w:val="00160341"/>
    <w:rPr>
      <w:rFonts w:ascii="Segoe UI" w:hAnsi="Segoe UI" w:cs="Segoe UI"/>
      <w:sz w:val="18"/>
      <w:szCs w:val="18"/>
    </w:rPr>
  </w:style>
  <w:style w:type="paragraph" w:styleId="Topptekst">
    <w:name w:val="header"/>
    <w:basedOn w:val="Normal"/>
    <w:link w:val="TopptekstTegn"/>
    <w:uiPriority w:val="99"/>
    <w:unhideWhenUsed/>
    <w:rsid w:val="003238FE"/>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3238FE"/>
  </w:style>
  <w:style w:type="paragraph" w:styleId="Bunntekst">
    <w:name w:val="footer"/>
    <w:basedOn w:val="Normal"/>
    <w:link w:val="BunntekstTegn"/>
    <w:uiPriority w:val="99"/>
    <w:unhideWhenUsed/>
    <w:rsid w:val="003238FE"/>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3238FE"/>
  </w:style>
  <w:style w:type="paragraph" w:styleId="Overskriftforinnholdsfortegnelse">
    <w:name w:val="TOC Heading"/>
    <w:basedOn w:val="Overskrift1"/>
    <w:next w:val="Normal"/>
    <w:uiPriority w:val="39"/>
    <w:unhideWhenUsed/>
    <w:qFormat/>
    <w:rsid w:val="002536EA"/>
    <w:pPr>
      <w:outlineLvl w:val="9"/>
    </w:pPr>
    <w:rPr>
      <w:lang w:eastAsia="nb-NO"/>
    </w:rPr>
  </w:style>
  <w:style w:type="paragraph" w:styleId="INNH1">
    <w:name w:val="toc 1"/>
    <w:basedOn w:val="Normal"/>
    <w:next w:val="Normal"/>
    <w:autoRedefine/>
    <w:uiPriority w:val="39"/>
    <w:unhideWhenUsed/>
    <w:rsid w:val="002536EA"/>
    <w:pPr>
      <w:spacing w:after="100"/>
    </w:pPr>
  </w:style>
  <w:style w:type="paragraph" w:styleId="INNH2">
    <w:name w:val="toc 2"/>
    <w:basedOn w:val="Normal"/>
    <w:next w:val="Normal"/>
    <w:autoRedefine/>
    <w:uiPriority w:val="39"/>
    <w:unhideWhenUsed/>
    <w:rsid w:val="002536EA"/>
    <w:pPr>
      <w:spacing w:after="100"/>
      <w:ind w:left="220"/>
    </w:pPr>
  </w:style>
  <w:style w:type="character" w:styleId="Fulgthyperkobling">
    <w:name w:val="FollowedHyperlink"/>
    <w:basedOn w:val="Standardskriftforavsnitt"/>
    <w:uiPriority w:val="99"/>
    <w:semiHidden/>
    <w:unhideWhenUsed/>
    <w:rsid w:val="00FF530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1693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hyperlink" Target="https://www.regjeringen.no/globalassets/upload/kilde/kd/rap/2006/0008/ddd/pdfv/284882-skolemaltid_26.06.06.pdf"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image" Target="media/image1.png"/><Relationship Id="rId12" Type="http://schemas.openxmlformats.org/officeDocument/2006/relationships/hyperlink" Target="https://helsedirektoratet.no/Lists/Publikasjoner/Attachments/311/Samfunnsutvikling-for-god-folkehelse-IS-2203.pdf"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www.fhi.no/artikler/?id=110553" TargetMode="External"/><Relationship Id="rId5" Type="http://schemas.openxmlformats.org/officeDocument/2006/relationships/footnotes" Target="footnotes.xml"/><Relationship Id="rId15" Type="http://schemas.openxmlformats.org/officeDocument/2006/relationships/hyperlink" Target="http://www.who.int/mediacentre/factsheets/fs311/en/" TargetMode="External"/><Relationship Id="rId23" Type="http://schemas.openxmlformats.org/officeDocument/2006/relationships/theme" Target="theme/theme1.xml"/><Relationship Id="rId10" Type="http://schemas.openxmlformats.org/officeDocument/2006/relationships/hyperlink" Target="http://ec.europa.eu/agriculture/fruit-and-vegetables/free-distribution/index_en.htm"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www.regjeringen.no/nb/dokumenter/stprp-nr-1-2007-2008-/id483671/?docId=STP200720080001HODDDDEPIS&amp;q=&amp;navchap=1&amp;ch=3" TargetMode="External"/><Relationship Id="rId22"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82138E-BB23-48F3-88BF-D8FC6C1D0D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8618</Words>
  <Characters>50588</Characters>
  <Application>Microsoft Office Word</Application>
  <DocSecurity>0</DocSecurity>
  <Lines>919</Lines>
  <Paragraphs>220</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58986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2015-06-05T08:35:00Z</dcterms:created>
  <dcterms:modified xsi:type="dcterms:W3CDTF">2015-06-05T08:40:00Z</dcterms:modified>
</cp:coreProperties>
</file>