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329470F2" w14:textId="26A2DB6F" w:rsidR="008028FD" w:rsidRDefault="008028FD" w:rsidP="00BE01C6">
      <w:pPr>
        <w:spacing w:line="276" w:lineRule="auto"/>
      </w:pPr>
      <w:r w:rsidRPr="008028FD">
        <w:t xml:space="preserve">Høst 2013, </w:t>
      </w:r>
      <w:r>
        <w:t>JUS4211, Straff og prosess</w:t>
      </w:r>
    </w:p>
    <w:p w14:paraId="39FE7A5F" w14:textId="77777777" w:rsidR="00A7535C" w:rsidRDefault="00A7535C" w:rsidP="00BE01C6">
      <w:pPr>
        <w:spacing w:line="276" w:lineRule="auto"/>
      </w:pPr>
    </w:p>
    <w:p w14:paraId="6EF8A65D" w14:textId="07372537" w:rsidR="00A7535C" w:rsidRDefault="00A7535C" w:rsidP="00BE01C6">
      <w:pPr>
        <w:spacing w:line="276" w:lineRule="auto"/>
      </w:pPr>
      <w:r>
        <w:t>Tidligere eksamensoppgaver</w:t>
      </w:r>
      <w:r w:rsidR="00A954C2">
        <w:t xml:space="preserve"> tilgjengelig her</w:t>
      </w:r>
      <w:r>
        <w:t xml:space="preserve">: </w:t>
      </w:r>
    </w:p>
    <w:p w14:paraId="2A8B03A6" w14:textId="6514EDEE" w:rsidR="00A7535C" w:rsidRDefault="00A7535C" w:rsidP="00BE01C6">
      <w:pPr>
        <w:spacing w:line="276" w:lineRule="auto"/>
      </w:pPr>
      <w:hyperlink r:id="rId9" w:history="1">
        <w:r w:rsidRPr="00434A12">
          <w:rPr>
            <w:rStyle w:val="Hyperkobling"/>
          </w:rPr>
          <w:t>http://www.uio.no/studier/emner/jus/jus/JUS4211/oppgaver/index.html</w:t>
        </w:r>
      </w:hyperlink>
      <w:r>
        <w:t xml:space="preserve"> </w:t>
      </w:r>
    </w:p>
    <w:p w14:paraId="72A968DF" w14:textId="77777777" w:rsidR="00A7535C" w:rsidRDefault="00A7535C" w:rsidP="00BE01C6">
      <w:pPr>
        <w:spacing w:line="276" w:lineRule="auto"/>
      </w:pPr>
    </w:p>
    <w:p w14:paraId="2AB7B39C" w14:textId="77777777" w:rsidR="00C60C22" w:rsidRDefault="00C60C22" w:rsidP="00BE01C6">
      <w:pPr>
        <w:spacing w:line="276" w:lineRule="auto"/>
      </w:pPr>
    </w:p>
    <w:p w14:paraId="64723E23" w14:textId="1B4416A7" w:rsidR="00C60C22" w:rsidRDefault="00C60C22" w:rsidP="00BE01C6">
      <w:pPr>
        <w:spacing w:line="276" w:lineRule="auto"/>
      </w:pPr>
      <w:r>
        <w:t xml:space="preserve">Oppgavetekst: </w:t>
      </w:r>
    </w:p>
    <w:p w14:paraId="0DC6B616" w14:textId="77777777" w:rsidR="00C60C22" w:rsidRDefault="00C60C22" w:rsidP="00BE01C6">
      <w:pPr>
        <w:spacing w:line="276" w:lineRule="auto"/>
      </w:pPr>
    </w:p>
    <w:p w14:paraId="672893E6"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DEL 1: Strafferett</w:t>
      </w:r>
    </w:p>
    <w:p w14:paraId="4CAC7761"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1ABEC5B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Lars Holm og Peder Ås kom i snakk på den lokale baren Tinget i Lillevik sentrum. Det viste seg at</w:t>
      </w:r>
    </w:p>
    <w:p w14:paraId="23B47558"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begge mennene var svært interessert i armbåndsur. Ås fortalte at han hadde kjøpt en retroklokke</w:t>
      </w:r>
    </w:p>
    <w:p w14:paraId="5D0685B6"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med mekanisk urverk av merket Tell hos den lokale klokkeforhandleren på storsenteret i Lillevik,</w:t>
      </w:r>
    </w:p>
    <w:p w14:paraId="5E4481A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men at denne forskjøv seg med 5 sekunder pr. døgn. Ås fortalte videre at han hadde krevd</w:t>
      </w:r>
    </w:p>
    <w:p w14:paraId="052F3BD7"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omlevering av det uret, men at butikkpersonalet da hadde sagt at forsinkelsen var helt akseptabel</w:t>
      </w:r>
    </w:p>
    <w:p w14:paraId="00175BD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for et mekanisk urverk, og at de derfor nektet å foreta seg noe som helst. Uret var også blant de</w:t>
      </w:r>
    </w:p>
    <w:p w14:paraId="1B2BB59B"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billigere i Tells klokkekolleksjon, med en pris på kr. 4000. Det hjalp ikke det spor at Ås fortalte at</w:t>
      </w:r>
    </w:p>
    <w:p w14:paraId="76E2B500"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han jobbet som intensivlege, og at det var av avgjørende betydning for ham at klokken gikk riktig.</w:t>
      </w:r>
    </w:p>
    <w:p w14:paraId="7D33E08D"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7246C997"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Lars Holm syntes synd på Peder Ås, og fortalte at han nettopp hadde startet i en deltidsjobb som</w:t>
      </w:r>
    </w:p>
    <w:p w14:paraId="20B0AB28"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vekter på nattestid i helgene på storsenteret i Lillevik, og at Ås eventuelt kunne bli med på en runde</w:t>
      </w:r>
    </w:p>
    <w:p w14:paraId="34A2D667"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for å se seg om. Holm sa videre at Ås eventuelt kunne låse seg inn i urmakerbutikken og bytte ut</w:t>
      </w:r>
    </w:p>
    <w:p w14:paraId="66080216"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klokken med en tilsvarende modell, mens Holm selv «så seg om». Ås syntes dette hørtes ut som en</w:t>
      </w:r>
    </w:p>
    <w:p w14:paraId="5C44E992"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ganske god idé. Ås tenkte at ettersom klokken hans var nesten helt ny, ville antakelig ikke</w:t>
      </w:r>
    </w:p>
    <w:p w14:paraId="5AC16F3D"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butikkpersonalet merke ombyttingen, og kanskje syntes den nye kjøperen at det bare var</w:t>
      </w:r>
    </w:p>
    <w:p w14:paraId="49D551E6"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sjarmerende med en tidsforskyvning på fem sekunder pr. døgn?</w:t>
      </w:r>
    </w:p>
    <w:p w14:paraId="0F6CAFE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17B3BD1F"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Allerede neste natt satte de planen ut i livet. Holm låste opp en sidedør til storsenteret og Ås smatt</w:t>
      </w:r>
    </w:p>
    <w:p w14:paraId="656B1C8F"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inn uten å si et ord. Ås syntes det var ganske skummelt, selv om han ikke hadde til hensikt å gjøre</w:t>
      </w:r>
    </w:p>
    <w:p w14:paraId="59339308"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noe ulovlig. Da de stod utenfor klokkeforretningen, sa Holm at han ville se seg litt om. Ås låste seg</w:t>
      </w:r>
    </w:p>
    <w:p w14:paraId="2A9C8821"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deretter inn i klokkeforretningen, låste opp klokkemonteren og foretok ombyttingen av klokken. På</w:t>
      </w:r>
    </w:p>
    <w:p w14:paraId="521F14E2"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grunn av mørket gjorde imidlertid Ås en feil, og byttet klokken med en modell som kostet kr. 25</w:t>
      </w:r>
    </w:p>
    <w:p w14:paraId="0D70F31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000.</w:t>
      </w:r>
    </w:p>
    <w:p w14:paraId="57A55828"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412AED7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De gikk forbi butikken til gullsmed Blanch på vei ut. Ås sa at hans ektefelle fylte 50 år samme</w:t>
      </w:r>
    </w:p>
    <w:p w14:paraId="31EFF702" w14:textId="649A8C1A" w:rsidR="00C60C22" w:rsidRPr="00C60C22" w:rsidRDefault="00C60C22" w:rsidP="00C60C22">
      <w:pPr>
        <w:spacing w:line="276" w:lineRule="auto"/>
      </w:pPr>
      <w:r>
        <w:rPr>
          <w:rFonts w:ascii="Times New Roman" w:hAnsi="Times New Roman" w:cs="Times New Roman"/>
          <w:sz w:val="22"/>
          <w:szCs w:val="22"/>
          <w:lang w:val="en-US"/>
        </w:rPr>
        <w:t>morgen og at han hadde glemt å kjøpe en gave til henne. De låste seg deretter inn i</w:t>
      </w:r>
      <w:r>
        <w:t xml:space="preserve"> </w:t>
      </w:r>
      <w:r>
        <w:rPr>
          <w:rFonts w:ascii="Times New Roman" w:hAnsi="Times New Roman" w:cs="Times New Roman"/>
          <w:sz w:val="22"/>
          <w:szCs w:val="22"/>
          <w:lang w:val="en-US"/>
        </w:rPr>
        <w:t>gullsmedbutikken. Ås pekte så ut et diamantsmykke til kr. 18 000, hvorpå Holm låste ut smykket</w:t>
      </w:r>
    </w:p>
    <w:p w14:paraId="5DE3CD1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og tilbød det til Ås for kr. 12 000. Ås stusset over at han fikk smykket billigere enn pålydende, med</w:t>
      </w:r>
    </w:p>
    <w:p w14:paraId="07408CA8"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falt til ro med Holms forklaring om at han som ansatt på Lillevik storsenter fikk såkalt</w:t>
      </w:r>
    </w:p>
    <w:p w14:paraId="5260C892"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«ansatterabatt». Holm sa at kjøpet måtte gjøres opp kontant ettersom kortterminalen ikke</w:t>
      </w:r>
    </w:p>
    <w:p w14:paraId="65FB6413"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fungerte på nattestid. Det viste seg at Ås ikke hadde kontanter på seg, og de satte derfor smykket</w:t>
      </w:r>
    </w:p>
    <w:p w14:paraId="783B2156"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tilbake i monteren.</w:t>
      </w:r>
    </w:p>
    <w:p w14:paraId="7E7B07D0"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0F7AEAC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Det viste seg at storsenteret var kameraovervåket, slik at hele seansen var tatt opp på video.</w:t>
      </w:r>
    </w:p>
    <w:p w14:paraId="798DF550"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Ettersom Ås mente at han ikke hadde gjort noe ulovlig, fortalte han velvillig om den spennende</w:t>
      </w:r>
    </w:p>
    <w:p w14:paraId="5608E52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vandringen på storsenteret i nattemørket. Dette medførte at også Holm bestemte seg for å legge</w:t>
      </w:r>
    </w:p>
    <w:p w14:paraId="2E4C53B3"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alle kortene på bordet, for derigjennom å få mildest mulig reaksjon.</w:t>
      </w:r>
    </w:p>
    <w:p w14:paraId="4133D2E4"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Statsadvokat Jon Vold tok ut tiltale mot både Peder Ås og Lars Holm.</w:t>
      </w:r>
    </w:p>
    <w:p w14:paraId="3B531C8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p>
    <w:p w14:paraId="7C2E5F00"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Peder Ås ble tiltalt for</w:t>
      </w:r>
    </w:p>
    <w:p w14:paraId="19FF6B9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I. Grovt tyveri av klokke til en verdi av kr. 25 000 fra urmaker Kirkerud (strl. § 258, jf. § 257)</w:t>
      </w:r>
    </w:p>
    <w:p w14:paraId="76CFBC4C"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Holm ble tiltalt for</w:t>
      </w:r>
    </w:p>
    <w:p w14:paraId="1A77A925"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lastRenderedPageBreak/>
        <w:t>I. Tyveri eller forsøk på tyveri av diamantsmykke fra gullsmed Blanch (strl. § 257, jf. § 49)</w:t>
      </w:r>
    </w:p>
    <w:p w14:paraId="7BA0BBE4"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II. Forsøk på hvitvasking av utbytte fra tyverihandling ved at diamantsmykket ble forsøkt</w:t>
      </w:r>
    </w:p>
    <w:p w14:paraId="30D83E9F" w14:textId="605516A8" w:rsidR="008028FD" w:rsidRDefault="00C60C22" w:rsidP="00C60C22">
      <w:pPr>
        <w:spacing w:line="276" w:lineRule="auto"/>
      </w:pPr>
      <w:r>
        <w:rPr>
          <w:rFonts w:ascii="Times New Roman" w:hAnsi="Times New Roman" w:cs="Times New Roman"/>
          <w:sz w:val="22"/>
          <w:szCs w:val="22"/>
          <w:lang w:val="en-US"/>
        </w:rPr>
        <w:t>solgt til Peder Ås (straffeloven § 317, jf. § 49)</w:t>
      </w:r>
    </w:p>
    <w:p w14:paraId="72E71879" w14:textId="77777777" w:rsidR="008028FD" w:rsidRDefault="008028FD" w:rsidP="00BE01C6">
      <w:pPr>
        <w:spacing w:line="276" w:lineRule="auto"/>
      </w:pPr>
    </w:p>
    <w:p w14:paraId="01C22293"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Både Ås og Holm nektet straffeskyld.</w:t>
      </w:r>
    </w:p>
    <w:p w14:paraId="0FB51961"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Peder Ås hevdet ved sin forsvarer at ombytting av klokke ikke kunne anses å utgjøre tyveri.</w:t>
      </w:r>
    </w:p>
    <w:p w14:paraId="319B45A7"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Holm hevdet ved sin forsvarer at han ikke kunne straffes for tyveri eller forsøk på tyveri og</w:t>
      </w:r>
    </w:p>
    <w:p w14:paraId="2CCBF6FA" w14:textId="77777777" w:rsidR="00C60C22" w:rsidRDefault="00C60C22" w:rsidP="00C60C2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hvitvasking av diamantsmykket, i alle fall ikke i konkurrens.</w:t>
      </w:r>
    </w:p>
    <w:p w14:paraId="4A3A8240" w14:textId="27CEB076" w:rsidR="00C60C22" w:rsidRDefault="00C60C22" w:rsidP="00C60C22">
      <w:pPr>
        <w:spacing w:line="276" w:lineRule="auto"/>
        <w:rPr>
          <w:rFonts w:ascii="Times New Roman" w:hAnsi="Times New Roman" w:cs="Times New Roman"/>
          <w:sz w:val="22"/>
          <w:szCs w:val="22"/>
          <w:lang w:val="en-US"/>
        </w:rPr>
      </w:pPr>
      <w:r>
        <w:rPr>
          <w:rFonts w:ascii="Times New Roman" w:hAnsi="Times New Roman" w:cs="Times New Roman"/>
          <w:sz w:val="22"/>
          <w:szCs w:val="22"/>
          <w:lang w:val="en-US"/>
        </w:rPr>
        <w:t>Ta standpunkt til hver enkelt post i tiltalen.</w:t>
      </w:r>
    </w:p>
    <w:p w14:paraId="3F5457F7" w14:textId="77777777" w:rsidR="00C60C22" w:rsidRDefault="00C60C22" w:rsidP="00C60C22">
      <w:pPr>
        <w:spacing w:line="276" w:lineRule="auto"/>
        <w:rPr>
          <w:rFonts w:ascii="Times New Roman" w:hAnsi="Times New Roman" w:cs="Times New Roman"/>
          <w:sz w:val="22"/>
          <w:szCs w:val="22"/>
          <w:lang w:val="en-US"/>
        </w:rPr>
      </w:pPr>
    </w:p>
    <w:p w14:paraId="23A19FB3"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p>
    <w:p w14:paraId="331D1A8F"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DEL 2: Sivilprosess</w:t>
      </w:r>
    </w:p>
    <w:p w14:paraId="0A786A2D"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p>
    <w:p w14:paraId="7E909C57"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Høsten 2013 skulle Lillevik tingrett behandle en tvistesak om lokalisering av museet med</w:t>
      </w:r>
    </w:p>
    <w:p w14:paraId="0CCA9EE2"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billedsamlingen etter den kjente maleren Sigvard Dunch. Samlingen var testamentert til</w:t>
      </w:r>
    </w:p>
    <w:p w14:paraId="543DFF85" w14:textId="77777777" w:rsidR="00A954C2" w:rsidRDefault="00A954C2" w:rsidP="00A954C2">
      <w:pPr>
        <w:widowControl w:val="0"/>
        <w:autoSpaceDE w:val="0"/>
        <w:autoSpaceDN w:val="0"/>
        <w:adjustRightInd w:val="0"/>
        <w:rPr>
          <w:rFonts w:ascii="Ω›E'78ˇøÏxÂ'1" w:hAnsi="Ω›E'78ˇøÏxÂ'1" w:cs="Ω›E'78ˇøÏxÂ'1"/>
          <w:sz w:val="22"/>
          <w:szCs w:val="22"/>
          <w:lang w:val="en-US"/>
        </w:rPr>
      </w:pPr>
      <w:r>
        <w:rPr>
          <w:rFonts w:ascii="Ω›E'78ˇøÏxÂ'1" w:hAnsi="Ω›E'78ˇøÏxÂ'1" w:cs="Ω›E'78ˇøÏxÂ'1"/>
          <w:sz w:val="22"/>
          <w:szCs w:val="22"/>
          <w:lang w:val="en-US"/>
        </w:rPr>
        <w:t>kommunen med vilkår om at den skulle gjøres tilgjengelig for allmennheten på et ”sentralt sted”.</w:t>
      </w:r>
    </w:p>
    <w:p w14:paraId="69806CBA"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Flertallet i kommunestyret gikk inn for å legge museet på den såkalte Blåveisløkka, en kommunal</w:t>
      </w:r>
    </w:p>
    <w:p w14:paraId="7ED80C7C"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tomt i utkanten av tettbebyggelsen. Begrunnelsen var at en slik lokalisering ville gjøre det mer</w:t>
      </w:r>
    </w:p>
    <w:p w14:paraId="4163E6FC"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attraktivt for fremtidig byutvikling i den delen av kommunen. Dunchs slektsarvinger mente</w:t>
      </w:r>
    </w:p>
    <w:p w14:paraId="30A127CA"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museets plassering var i strid med testamentet. De engasjerte det velrenommerte firmaet</w:t>
      </w:r>
    </w:p>
    <w:p w14:paraId="31804CD8"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Kunstadvokatene, og saksøkte kommunen med krav om at billedsamlingen måtte tilfalle dem fordi</w:t>
      </w:r>
    </w:p>
    <w:p w14:paraId="2210D9DB"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kommunen hadde brutt testamentets vilkår.</w:t>
      </w:r>
    </w:p>
    <w:p w14:paraId="488DF326"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p>
    <w:p w14:paraId="7B8262CC"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Hovedforhandlingen ble fulgt med stor medie- og publikumsinteresse. En journalist fra Lillevik</w:t>
      </w:r>
    </w:p>
    <w:p w14:paraId="54152DCF"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dagblad var blant tilhørerne. I løpet av den første rettsdagen ble han oppmerksom på at</w:t>
      </w:r>
    </w:p>
    <w:p w14:paraId="4B8B4839"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kommunens prosessfullmektig, som var kommuneadvokaten, i likhet med ham selv, var en av</w:t>
      </w:r>
    </w:p>
    <w:p w14:paraId="395E8D5F"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dommerens ca. 300 venner på Facebook. Neste dag hadde avisen følgende forsideoppslag:</w:t>
      </w:r>
    </w:p>
    <w:p w14:paraId="7B62471B" w14:textId="77777777" w:rsidR="00A954C2" w:rsidRDefault="00A954C2" w:rsidP="00A954C2">
      <w:pPr>
        <w:widowControl w:val="0"/>
        <w:autoSpaceDE w:val="0"/>
        <w:autoSpaceDN w:val="0"/>
        <w:adjustRightInd w:val="0"/>
        <w:rPr>
          <w:rFonts w:ascii="Ω›E'78ˇøÏxÂ'1" w:hAnsi="Ω›E'78ˇøÏxÂ'1" w:cs="Ω›E'78ˇøÏxÂ'1"/>
          <w:sz w:val="22"/>
          <w:szCs w:val="22"/>
          <w:lang w:val="en-US"/>
        </w:rPr>
      </w:pPr>
      <w:r>
        <w:rPr>
          <w:rFonts w:ascii="Ω›E'78ˇøÏxÂ'1" w:hAnsi="Ω›E'78ˇøÏxÂ'1" w:cs="Ω›E'78ˇøÏxÂ'1"/>
          <w:sz w:val="22"/>
          <w:szCs w:val="22"/>
          <w:lang w:val="en-US"/>
        </w:rPr>
        <w:t>”Fortrolig vennskap kan avgjøre Dunch</w:t>
      </w:r>
      <w:r>
        <w:rPr>
          <w:rFonts w:ascii="Times New Roman" w:hAnsi="Times New Roman" w:cs="Times New Roman"/>
          <w:sz w:val="22"/>
          <w:szCs w:val="22"/>
          <w:lang w:val="en-US"/>
        </w:rPr>
        <w:t>-</w:t>
      </w:r>
      <w:r>
        <w:rPr>
          <w:rFonts w:ascii="Ω›E'78ˇøÏxÂ'1" w:hAnsi="Ω›E'78ˇøÏxÂ'1" w:cs="Ω›E'78ˇøÏxÂ'1"/>
          <w:sz w:val="22"/>
          <w:szCs w:val="22"/>
          <w:lang w:val="en-US"/>
        </w:rPr>
        <w:t>saken.” Journalisten hadde også funnet ut at dommeren</w:t>
      </w:r>
    </w:p>
    <w:p w14:paraId="044ECF99"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tidligere hadde vært gift med kommuneadvokatens kusine. Etter avisoppslaget tok arvingenes</w:t>
      </w:r>
    </w:p>
    <w:p w14:paraId="5E7ECC90"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advokat opp spørsmålet om hvordan dommeren vurderte sin habilitet. Dommeren svarte at han</w:t>
      </w:r>
    </w:p>
    <w:p w14:paraId="417AA20E"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aldri hadde møtt kommuneadvokaten i private sammenhenger, men at de ved et par anledninger</w:t>
      </w:r>
    </w:p>
    <w:p w14:paraId="18A7C296"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hadde truffet hverandre på T-banen og da snakket om været. Dommeren opplyste dessuten at han</w:t>
      </w:r>
    </w:p>
    <w:p w14:paraId="76E0C39D"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frem til for fire år siden hadde vært partner i advokatfirmaet Opphavsrett, som året i forveien var</w:t>
      </w:r>
    </w:p>
    <w:p w14:paraId="27BD570C"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kjøpt opp av Kunstadvokatene. Denne forbindelsen måtte oppveie eventuelle habilitetsproblemer</w:t>
      </w:r>
    </w:p>
    <w:p w14:paraId="25C12853"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knyttet til kommuneadvokaten. Etter at dommeren sluttet i advokatfirmaet Opphavsrett hadde han</w:t>
      </w:r>
    </w:p>
    <w:p w14:paraId="7E34BE22"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vært invitert til de årlige sommerfestene. Det første året deltok han, siden hadde han vært</w:t>
      </w:r>
    </w:p>
    <w:p w14:paraId="486F1137"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forhindret. Dommeren tilføyde at han som kunstinteressert var særlig habil til å behandle denne</w:t>
      </w:r>
    </w:p>
    <w:p w14:paraId="21BF61F1" w14:textId="67F4565A" w:rsidR="00C60C22" w:rsidRDefault="00A954C2" w:rsidP="00A954C2">
      <w:pPr>
        <w:spacing w:line="276" w:lineRule="auto"/>
        <w:rPr>
          <w:rFonts w:ascii="Times New Roman" w:hAnsi="Times New Roman" w:cs="Times New Roman"/>
          <w:sz w:val="22"/>
          <w:szCs w:val="22"/>
          <w:lang w:val="en-US"/>
        </w:rPr>
      </w:pPr>
      <w:r>
        <w:rPr>
          <w:rFonts w:ascii="Times New Roman" w:hAnsi="Times New Roman" w:cs="Times New Roman"/>
          <w:sz w:val="22"/>
          <w:szCs w:val="22"/>
          <w:lang w:val="en-US"/>
        </w:rPr>
        <w:t>saken. Han viste til at han i sin tid hadde brukt deler av studielånet på å kjøpe et trykk av Dunch.</w:t>
      </w:r>
    </w:p>
    <w:p w14:paraId="461D31C4" w14:textId="77777777" w:rsidR="00C60C22" w:rsidRDefault="00C60C22" w:rsidP="00C60C22">
      <w:pPr>
        <w:spacing w:line="276" w:lineRule="auto"/>
      </w:pPr>
    </w:p>
    <w:p w14:paraId="4B220FF1"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I. Drøft og avgjør dommerens habilitet.</w:t>
      </w:r>
    </w:p>
    <w:p w14:paraId="63767AF2"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p>
    <w:p w14:paraId="74CA7A6C"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Avslutningsvis i sin prosedyre viste arvin</w:t>
      </w:r>
      <w:r>
        <w:rPr>
          <w:rFonts w:ascii="ß›E'78ˇøÏxÂ'1" w:hAnsi="ß›E'78ˇøÏxÂ'1" w:cs="ß›E'78ˇøÏxÂ'1"/>
          <w:sz w:val="22"/>
          <w:szCs w:val="22"/>
          <w:lang w:val="en-US"/>
        </w:rPr>
        <w:t>genes prosessfullmektig til et ”</w:t>
      </w:r>
      <w:r>
        <w:rPr>
          <w:rFonts w:ascii="Times New Roman" w:hAnsi="Times New Roman" w:cs="Times New Roman"/>
          <w:sz w:val="22"/>
          <w:szCs w:val="22"/>
          <w:lang w:val="en-US"/>
        </w:rPr>
        <w:t>hjelpedokument</w:t>
      </w:r>
      <w:r>
        <w:rPr>
          <w:rFonts w:ascii="ß›E'78ˇøÏxÂ'1" w:hAnsi="ß›E'78ˇøÏxÂ'1" w:cs="ß›E'78ˇøÏxÂ'1"/>
          <w:sz w:val="22"/>
          <w:szCs w:val="22"/>
          <w:lang w:val="en-US"/>
        </w:rPr>
        <w:t>”</w:t>
      </w:r>
      <w:r>
        <w:rPr>
          <w:rFonts w:ascii="Times New Roman" w:hAnsi="Times New Roman" w:cs="Times New Roman"/>
          <w:sz w:val="22"/>
          <w:szCs w:val="22"/>
          <w:lang w:val="en-US"/>
        </w:rPr>
        <w:t>, et kart</w:t>
      </w:r>
    </w:p>
    <w:p w14:paraId="16C77454"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over Lillevik, til støtte for sin redegjørelse. Kartet var funnet i Dunchs etterlatte papirer og hadde</w:t>
      </w:r>
    </w:p>
    <w:p w14:paraId="17FDBA3C" w14:textId="7CC66DFD" w:rsidR="00C60C22" w:rsidRDefault="00A954C2" w:rsidP="00A954C2">
      <w:pPr>
        <w:spacing w:line="276" w:lineRule="auto"/>
      </w:pPr>
      <w:r>
        <w:rPr>
          <w:rFonts w:ascii="ß›E'78ˇøÏxÂ'1" w:hAnsi="ß›E'78ˇøÏxÂ'1" w:cs="ß›E'78ˇøÏxÂ'1"/>
          <w:sz w:val="22"/>
          <w:szCs w:val="22"/>
          <w:lang w:val="en-US"/>
        </w:rPr>
        <w:t>en påtegning med Dunchs gjenkjennelige håndskrift hvor det sto ”museum” sammen med en</w:t>
      </w:r>
    </w:p>
    <w:p w14:paraId="41A3A2FF" w14:textId="77777777" w:rsidR="00C60C22" w:rsidRDefault="00C60C22" w:rsidP="00BE01C6">
      <w:pPr>
        <w:spacing w:line="276" w:lineRule="auto"/>
      </w:pPr>
    </w:p>
    <w:p w14:paraId="47F9E533"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blyantstrek som var tegnet i ring rundt Lilleviks havneområde og sentrumsbebyggelse.</w:t>
      </w:r>
    </w:p>
    <w:p w14:paraId="58DAB9A1"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Kommuneadvokaten protesterte, og anførte at retten ikke kunne bygge på opplysningene i kartet.</w:t>
      </w:r>
    </w:p>
    <w:p w14:paraId="5A10491A"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Han mente at motpartens henvisning til dette dokumentet var i strid med både</w:t>
      </w:r>
    </w:p>
    <w:p w14:paraId="3DD14EB3" w14:textId="77777777" w:rsidR="00A954C2" w:rsidRDefault="00A954C2" w:rsidP="00A954C2">
      <w:pPr>
        <w:widowControl w:val="0"/>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muntlighetsprinsippet og det kontradiktoriske prinsipp.</w:t>
      </w:r>
    </w:p>
    <w:p w14:paraId="1E3F8DFF" w14:textId="77777777" w:rsidR="00A954C2" w:rsidRDefault="00A954C2" w:rsidP="00A954C2">
      <w:pPr>
        <w:spacing w:line="276" w:lineRule="auto"/>
        <w:rPr>
          <w:rFonts w:ascii="Times New Roman" w:hAnsi="Times New Roman" w:cs="Times New Roman"/>
          <w:sz w:val="22"/>
          <w:szCs w:val="22"/>
          <w:lang w:val="en-US"/>
        </w:rPr>
      </w:pPr>
    </w:p>
    <w:p w14:paraId="08B5D87E" w14:textId="21C50438" w:rsidR="00A954C2" w:rsidRDefault="00A954C2" w:rsidP="00A954C2">
      <w:pPr>
        <w:spacing w:line="276" w:lineRule="auto"/>
      </w:pPr>
      <w:r>
        <w:rPr>
          <w:rFonts w:ascii="Times New Roman" w:hAnsi="Times New Roman" w:cs="Times New Roman"/>
          <w:sz w:val="22"/>
          <w:szCs w:val="22"/>
          <w:lang w:val="en-US"/>
        </w:rPr>
        <w:t>II. Drøft og avgjør de prosessuelle spørsmålene bruken av kartet reiser.</w:t>
      </w:r>
    </w:p>
    <w:p w14:paraId="433F0B87" w14:textId="77777777" w:rsidR="00A954C2" w:rsidRDefault="00A954C2" w:rsidP="00BE01C6">
      <w:pPr>
        <w:spacing w:line="276" w:lineRule="auto"/>
      </w:pPr>
    </w:p>
    <w:p w14:paraId="64AA04E5" w14:textId="77777777" w:rsidR="00A954C2" w:rsidRPr="008028FD" w:rsidRDefault="00A954C2" w:rsidP="00BE01C6">
      <w:pPr>
        <w:spacing w:line="276" w:lineRule="auto"/>
      </w:pPr>
    </w:p>
    <w:p w14:paraId="03BDC43E" w14:textId="77777777" w:rsidR="008028FD" w:rsidRDefault="008028FD" w:rsidP="00BE01C6">
      <w:pPr>
        <w:spacing w:line="276" w:lineRule="auto"/>
        <w:rPr>
          <w:b/>
          <w:sz w:val="48"/>
          <w:szCs w:val="48"/>
        </w:rPr>
      </w:pPr>
    </w:p>
    <w:p w14:paraId="714450F8" w14:textId="77777777" w:rsidR="008017B9" w:rsidRPr="009E2732" w:rsidRDefault="008017B9" w:rsidP="00BE01C6">
      <w:pPr>
        <w:spacing w:line="276" w:lineRule="auto"/>
        <w:rPr>
          <w:b/>
          <w:sz w:val="48"/>
          <w:szCs w:val="48"/>
        </w:rPr>
      </w:pPr>
      <w:r w:rsidRPr="009E2732">
        <w:rPr>
          <w:b/>
          <w:sz w:val="48"/>
          <w:szCs w:val="48"/>
        </w:rPr>
        <w:t xml:space="preserve">DEL 1: </w:t>
      </w:r>
    </w:p>
    <w:p w14:paraId="2E25C227" w14:textId="77777777" w:rsidR="008017B9" w:rsidRDefault="008017B9" w:rsidP="00BE01C6">
      <w:pPr>
        <w:spacing w:line="276" w:lineRule="auto"/>
      </w:pPr>
    </w:p>
    <w:p w14:paraId="79962629" w14:textId="77777777" w:rsidR="008017B9" w:rsidRDefault="008017B9" w:rsidP="00BE01C6">
      <w:pPr>
        <w:spacing w:line="276" w:lineRule="auto"/>
      </w:pPr>
    </w:p>
    <w:p w14:paraId="12B0FEAC" w14:textId="77777777" w:rsidR="008017B9" w:rsidRDefault="008017B9" w:rsidP="00BE01C6">
      <w:pPr>
        <w:spacing w:line="276" w:lineRule="auto"/>
      </w:pPr>
      <w:r>
        <w:t>Saken: Det er blitt tatt ut tiltale mot Lars Holm (LH) og Peder Ås (PÅ). PÅ er tiltalt for grovt tyveri, mens LH er tiltalt for forsøk på tyveri og forsøk på hvitvasking. Begge nekter straffeskyld.</w:t>
      </w:r>
    </w:p>
    <w:p w14:paraId="64E337D2" w14:textId="77777777" w:rsidR="008017B9" w:rsidRDefault="008017B9" w:rsidP="00BE01C6">
      <w:pPr>
        <w:spacing w:line="276" w:lineRule="auto"/>
      </w:pPr>
    </w:p>
    <w:p w14:paraId="7BE16BB2" w14:textId="77777777" w:rsidR="008017B9" w:rsidRDefault="008017B9" w:rsidP="00BE01C6">
      <w:pPr>
        <w:spacing w:line="276" w:lineRule="auto"/>
      </w:pPr>
    </w:p>
    <w:p w14:paraId="099C41C6" w14:textId="77777777" w:rsidR="005675C6" w:rsidRDefault="005675C6" w:rsidP="00BE01C6">
      <w:pPr>
        <w:spacing w:line="276" w:lineRule="auto"/>
      </w:pPr>
    </w:p>
    <w:p w14:paraId="2B26D431" w14:textId="77777777" w:rsidR="008017B9" w:rsidRDefault="008017B9" w:rsidP="00BE01C6">
      <w:pPr>
        <w:spacing w:line="276" w:lineRule="auto"/>
      </w:pPr>
    </w:p>
    <w:p w14:paraId="0BA72F20" w14:textId="0D2E19FE" w:rsidR="008017B9" w:rsidRPr="003165F1" w:rsidRDefault="008017B9" w:rsidP="00BE01C6">
      <w:pPr>
        <w:pStyle w:val="Listeavsnitt"/>
        <w:numPr>
          <w:ilvl w:val="0"/>
          <w:numId w:val="2"/>
        </w:numPr>
        <w:spacing w:line="276" w:lineRule="auto"/>
        <w:rPr>
          <w:b/>
          <w:u w:val="single"/>
        </w:rPr>
      </w:pPr>
      <w:r w:rsidRPr="003165F1">
        <w:rPr>
          <w:b/>
          <w:u w:val="single"/>
        </w:rPr>
        <w:t>Tiltale mot PÅ:</w:t>
      </w:r>
    </w:p>
    <w:p w14:paraId="11ED87E6" w14:textId="77777777" w:rsidR="008017B9" w:rsidRDefault="008017B9" w:rsidP="00BE01C6">
      <w:pPr>
        <w:spacing w:line="276" w:lineRule="auto"/>
      </w:pPr>
    </w:p>
    <w:p w14:paraId="32D1FD87" w14:textId="77777777" w:rsidR="008017B9" w:rsidRDefault="008017B9" w:rsidP="00BE01C6">
      <w:pPr>
        <w:spacing w:line="276" w:lineRule="auto"/>
      </w:pPr>
    </w:p>
    <w:p w14:paraId="1801658C" w14:textId="41DE3DE4" w:rsidR="003165F1" w:rsidRPr="00EC3DF4" w:rsidRDefault="003165F1" w:rsidP="00BE01C6">
      <w:pPr>
        <w:pStyle w:val="Listeavsnitt"/>
        <w:numPr>
          <w:ilvl w:val="1"/>
          <w:numId w:val="3"/>
        </w:numPr>
        <w:spacing w:line="276" w:lineRule="auto"/>
        <w:rPr>
          <w:b/>
        </w:rPr>
      </w:pPr>
      <w:r w:rsidRPr="00EC3DF4">
        <w:rPr>
          <w:b/>
        </w:rPr>
        <w:t>Spørsmålet er om PÅ har begått et tyveri</w:t>
      </w:r>
    </w:p>
    <w:p w14:paraId="2547B4DB" w14:textId="77777777" w:rsidR="003165F1" w:rsidRDefault="003165F1" w:rsidP="00BE01C6">
      <w:pPr>
        <w:spacing w:line="276" w:lineRule="auto"/>
      </w:pPr>
    </w:p>
    <w:p w14:paraId="1F41376E" w14:textId="4EDCD143" w:rsidR="003165F1" w:rsidRDefault="003165F1" w:rsidP="00BE01C6">
      <w:pPr>
        <w:spacing w:line="276" w:lineRule="auto"/>
      </w:pPr>
      <w:r>
        <w:t>Det rettslige grunnlaget er straffeloven av 1902.</w:t>
      </w:r>
    </w:p>
    <w:p w14:paraId="3B53F5B7" w14:textId="77777777" w:rsidR="003165F1" w:rsidRDefault="003165F1" w:rsidP="00BE01C6">
      <w:pPr>
        <w:spacing w:line="276" w:lineRule="auto"/>
      </w:pPr>
    </w:p>
    <w:p w14:paraId="1F064CA4" w14:textId="019C4620" w:rsidR="003165F1" w:rsidRDefault="003165F1" w:rsidP="00BE01C6">
      <w:pPr>
        <w:spacing w:line="276" w:lineRule="auto"/>
      </w:pPr>
      <w:r>
        <w:t xml:space="preserve">Etter strl. § 257 straffes den som ”borttar” en gjenstand som ”helt eller delvis tilhører en annen” og der hensikten er å skaffe seg en ”uberettiget vinning”. </w:t>
      </w:r>
    </w:p>
    <w:p w14:paraId="1DE8A8B1" w14:textId="77777777" w:rsidR="003165F1" w:rsidRDefault="003165F1" w:rsidP="00BE01C6">
      <w:pPr>
        <w:spacing w:line="276" w:lineRule="auto"/>
      </w:pPr>
    </w:p>
    <w:p w14:paraId="3A1F747F" w14:textId="3B658DAF" w:rsidR="003165F1" w:rsidRDefault="00386E3B" w:rsidP="00BE01C6">
      <w:pPr>
        <w:spacing w:line="276" w:lineRule="auto"/>
      </w:pPr>
      <w:r>
        <w:t xml:space="preserve">En normal språklig forståelse av ”borttar” tilsier at gjenstanden tas vekk fra eieren. </w:t>
      </w:r>
    </w:p>
    <w:p w14:paraId="41641F73" w14:textId="77777777" w:rsidR="00386E3B" w:rsidRDefault="00386E3B" w:rsidP="00BE01C6">
      <w:pPr>
        <w:spacing w:line="276" w:lineRule="auto"/>
      </w:pPr>
    </w:p>
    <w:p w14:paraId="391761D5" w14:textId="65FB78D1" w:rsidR="00386E3B" w:rsidRDefault="00386E3B" w:rsidP="00BE01C6">
      <w:pPr>
        <w:spacing w:line="276" w:lineRule="auto"/>
      </w:pPr>
      <w:r>
        <w:t xml:space="preserve">Begrepet ”borttar” har i rettspraksis blitt tolket utvidende. Det gjelder bl.a. kjøttlårdommen, Rt. 1894 s. 484, og kjettingdommen, Rt. 1888 s. 158. </w:t>
      </w:r>
      <w:r w:rsidR="002B49F4">
        <w:t>I kjøttlårdommen</w:t>
      </w:r>
      <w:r w:rsidR="00BE01C6">
        <w:t xml:space="preserve"> hadde en tyv tatt et kjøttlår fra en tønne og lagt det ved siden av tønna før tyven ble oppdaget. Høyesterett kom til at dette var å anse som et tyveri, selv om kjøttstykket ikke var bortført i lovens forstand. </w:t>
      </w:r>
    </w:p>
    <w:p w14:paraId="2E1D1EC2" w14:textId="77777777" w:rsidR="002011AC" w:rsidRDefault="002011AC" w:rsidP="00BE01C6">
      <w:pPr>
        <w:spacing w:line="276" w:lineRule="auto"/>
      </w:pPr>
    </w:p>
    <w:p w14:paraId="2E31D59D" w14:textId="5F56681A" w:rsidR="002011AC" w:rsidRDefault="002011AC" w:rsidP="00BE01C6">
      <w:pPr>
        <w:spacing w:line="276" w:lineRule="auto"/>
      </w:pPr>
      <w:r>
        <w:t>I kjettingdommen kom høyesterett også til at  det forelå et fullbyrdet tyveri, til tross for at tyven ikke hadde rukket å laste all kjettingen på lasteplanet før vedkommende ble oppdaget.</w:t>
      </w:r>
    </w:p>
    <w:p w14:paraId="21F4E079" w14:textId="77777777" w:rsidR="00380C1F" w:rsidRDefault="00380C1F" w:rsidP="00BE01C6">
      <w:pPr>
        <w:spacing w:line="276" w:lineRule="auto"/>
      </w:pPr>
    </w:p>
    <w:p w14:paraId="4A544325" w14:textId="5BCBE192" w:rsidR="00380C1F" w:rsidRDefault="00380C1F" w:rsidP="00BE01C6">
      <w:pPr>
        <w:spacing w:line="276" w:lineRule="auto"/>
      </w:pPr>
      <w:r>
        <w:t>Med andre ord kan et tyveri være fullbyrdet til tross for at gjenstanden ikke er ”bor</w:t>
      </w:r>
      <w:r w:rsidR="008005D2">
        <w:t>t</w:t>
      </w:r>
      <w:r>
        <w:t xml:space="preserve">tatt” i lovens forstand. </w:t>
      </w:r>
    </w:p>
    <w:p w14:paraId="7B56E0D5" w14:textId="77777777" w:rsidR="00BE01C6" w:rsidRDefault="00BE01C6" w:rsidP="00BE01C6">
      <w:pPr>
        <w:spacing w:line="276" w:lineRule="auto"/>
      </w:pPr>
    </w:p>
    <w:p w14:paraId="4EFC55B2" w14:textId="346FFEFB" w:rsidR="00BE01C6" w:rsidRDefault="00BE01C6" w:rsidP="00BE01C6">
      <w:pPr>
        <w:spacing w:line="276" w:lineRule="auto"/>
      </w:pPr>
      <w:r>
        <w:t xml:space="preserve">For å kunne straffes for tyveri kreves det </w:t>
      </w:r>
      <w:r w:rsidR="00380C1F">
        <w:t>at noen eier gjenstanden og at det dermed foreligger</w:t>
      </w:r>
      <w:r>
        <w:t xml:space="preserve"> en besittelseskrenkels</w:t>
      </w:r>
      <w:r w:rsidR="00380C1F">
        <w:t>e</w:t>
      </w:r>
      <w:r w:rsidR="00632983">
        <w:t>. Besittelseskrenkelse</w:t>
      </w:r>
      <w:r w:rsidR="00380C1F">
        <w:t xml:space="preserve"> kan straffes etter strl. § 393. </w:t>
      </w:r>
    </w:p>
    <w:p w14:paraId="4795AE09" w14:textId="77777777" w:rsidR="00632983" w:rsidRDefault="00632983" w:rsidP="00BE01C6">
      <w:pPr>
        <w:spacing w:line="276" w:lineRule="auto"/>
      </w:pPr>
    </w:p>
    <w:p w14:paraId="0FA2B872" w14:textId="6BFE45BA" w:rsidR="007C22BE" w:rsidRDefault="00632983" w:rsidP="00BE01C6">
      <w:pPr>
        <w:spacing w:line="276" w:lineRule="auto"/>
      </w:pPr>
      <w:r>
        <w:t xml:space="preserve">I vår sak er det ikke tvilsomt at klokka er i </w:t>
      </w:r>
      <w:r w:rsidR="0052497B">
        <w:t>den lokale klokkeforhandlerens</w:t>
      </w:r>
      <w:r>
        <w:t xml:space="preserve"> eierskap, siden den er </w:t>
      </w:r>
      <w:r w:rsidR="008040EC">
        <w:t xml:space="preserve">låst inne i </w:t>
      </w:r>
      <w:r w:rsidR="0052497B">
        <w:t>deres</w:t>
      </w:r>
      <w:r w:rsidR="007C22BE">
        <w:t xml:space="preserve"> forretningslokaler. Det er heller ikke tvilsomt at klokka er blitt ”borttatt”, siden PÅ med hjelp av vekteren LH låste seg inn i lokalet og tok klokka</w:t>
      </w:r>
      <w:r w:rsidR="0074266A">
        <w:t xml:space="preserve"> bort fra stedet</w:t>
      </w:r>
      <w:r w:rsidR="007C22BE">
        <w:t>, jf. strl. § 257</w:t>
      </w:r>
      <w:r w:rsidR="00846B87">
        <w:t xml:space="preserve"> (2)</w:t>
      </w:r>
      <w:r w:rsidR="007C22BE">
        <w:t xml:space="preserve">. </w:t>
      </w:r>
    </w:p>
    <w:p w14:paraId="5C86B19D" w14:textId="77777777" w:rsidR="005F2A1D" w:rsidRDefault="005F2A1D" w:rsidP="00BE01C6">
      <w:pPr>
        <w:spacing w:line="276" w:lineRule="auto"/>
      </w:pPr>
    </w:p>
    <w:p w14:paraId="3658B1B2" w14:textId="26982DFE" w:rsidR="005F2A1D" w:rsidRPr="000F381B" w:rsidRDefault="005F2A1D" w:rsidP="00BE01C6">
      <w:pPr>
        <w:spacing w:line="276" w:lineRule="auto"/>
        <w:rPr>
          <w:b/>
        </w:rPr>
      </w:pPr>
      <w:r w:rsidRPr="000F381B">
        <w:rPr>
          <w:b/>
        </w:rPr>
        <w:t xml:space="preserve">Spørsmålet er om PÅ tok klokka </w:t>
      </w:r>
      <w:r w:rsidR="00C46243" w:rsidRPr="000F381B">
        <w:rPr>
          <w:b/>
        </w:rPr>
        <w:t>for å skaffe seg en ”uberettiget vinnin</w:t>
      </w:r>
      <w:r w:rsidR="0052497B">
        <w:rPr>
          <w:b/>
        </w:rPr>
        <w:t>g</w:t>
      </w:r>
      <w:r w:rsidR="00C46243" w:rsidRPr="000F381B">
        <w:rPr>
          <w:b/>
        </w:rPr>
        <w:t>”?</w:t>
      </w:r>
    </w:p>
    <w:p w14:paraId="5314B71E" w14:textId="77777777" w:rsidR="00C46243" w:rsidRDefault="00C46243" w:rsidP="00BE01C6">
      <w:pPr>
        <w:spacing w:line="276" w:lineRule="auto"/>
      </w:pPr>
    </w:p>
    <w:p w14:paraId="3106D6E2" w14:textId="54B23800" w:rsidR="00E277FA" w:rsidRDefault="00E277FA" w:rsidP="00BE01C6">
      <w:pPr>
        <w:spacing w:line="276" w:lineRule="auto"/>
      </w:pPr>
      <w:r>
        <w:t>Det fremkommer fra faktum at PÅ tidligere hadde kjøpt en klokke hos den samme klokkeforhandleren. PÅ var misfornøyd med klokka fordi den forskjøv seg med 5 sekunder per døgn. Han hadde krevd omlevering, men klokkeforhandleren nektet å gjøre noe. På bakgrunn av dette bestemte PÅ seg, med hjelp av LH, å låse seg inn i forretningen og bytte til seg en tilsvarende klokke, og legge igjen den gamle som</w:t>
      </w:r>
      <w:r w:rsidR="001519D4">
        <w:t xml:space="preserve"> var </w:t>
      </w:r>
      <w:r>
        <w:t xml:space="preserve"> nokså ny.</w:t>
      </w:r>
    </w:p>
    <w:p w14:paraId="1B17999C" w14:textId="77777777" w:rsidR="00E277FA" w:rsidRDefault="00E277FA" w:rsidP="00BE01C6">
      <w:pPr>
        <w:spacing w:line="276" w:lineRule="auto"/>
      </w:pPr>
    </w:p>
    <w:p w14:paraId="131CC78D" w14:textId="338D7432" w:rsidR="007C22BE" w:rsidRDefault="002078B3" w:rsidP="00BE01C6">
      <w:pPr>
        <w:spacing w:line="276" w:lineRule="auto"/>
      </w:pPr>
      <w:r>
        <w:t xml:space="preserve">Med andre ord foretok PÅ denne handlingen fordi klagen hans til klokkeforhandleren ikke førte frem, og at han mente at klokka hans var mangelfull. </w:t>
      </w:r>
    </w:p>
    <w:p w14:paraId="263F0ABC" w14:textId="77777777" w:rsidR="00DD4B9F" w:rsidRDefault="00DD4B9F" w:rsidP="00BE01C6">
      <w:pPr>
        <w:spacing w:line="276" w:lineRule="auto"/>
      </w:pPr>
    </w:p>
    <w:p w14:paraId="6C125A13" w14:textId="1AB60A58" w:rsidR="002078B3" w:rsidRDefault="00DD4B9F" w:rsidP="00BE01C6">
      <w:pPr>
        <w:spacing w:line="276" w:lineRule="auto"/>
      </w:pPr>
      <w:r>
        <w:t>S</w:t>
      </w:r>
      <w:r w:rsidR="00824FDE">
        <w:t xml:space="preserve">trl. § 392 regulerer forhold der noens eiendomsrett er blitt krenket, men uten at det foreligger vinningens hensikt. </w:t>
      </w:r>
    </w:p>
    <w:p w14:paraId="54B79B66" w14:textId="77777777" w:rsidR="00DD4B9F" w:rsidRDefault="00DD4B9F" w:rsidP="00BE01C6">
      <w:pPr>
        <w:spacing w:line="276" w:lineRule="auto"/>
      </w:pPr>
    </w:p>
    <w:p w14:paraId="327E79AC" w14:textId="21E3342E" w:rsidR="001C2302" w:rsidRDefault="00DD4B9F" w:rsidP="00BE01C6">
      <w:pPr>
        <w:spacing w:line="276" w:lineRule="auto"/>
      </w:pPr>
      <w:r>
        <w:t xml:space="preserve">I </w:t>
      </w:r>
      <w:r w:rsidR="001C2302">
        <w:t xml:space="preserve">Rt. 1965 s. 125  (kjennelse) kom høyesterett til at en mann som hadde brutt deksel og plombering for å fortsette å bruke avstengt strøm, </w:t>
      </w:r>
      <w:r w:rsidR="00794EEF">
        <w:t>brøt</w:t>
      </w:r>
      <w:r w:rsidR="001C2302">
        <w:t xml:space="preserve"> strl. § 392 (1) og ikke § 257, </w:t>
      </w:r>
      <w:r w:rsidR="00150D31">
        <w:t>ettersom</w:t>
      </w:r>
      <w:r w:rsidR="001C2302">
        <w:t xml:space="preserve"> han ikke hadde </w:t>
      </w:r>
      <w:r w:rsidR="00794EEF">
        <w:t xml:space="preserve">til </w:t>
      </w:r>
      <w:r w:rsidR="001C2302">
        <w:t xml:space="preserve">hensikt å foreta en ”uberettiget vinning”. </w:t>
      </w:r>
    </w:p>
    <w:p w14:paraId="7BBAAE67" w14:textId="77777777" w:rsidR="001C2302" w:rsidRDefault="001C2302" w:rsidP="00BE01C6">
      <w:pPr>
        <w:spacing w:line="276" w:lineRule="auto"/>
      </w:pPr>
    </w:p>
    <w:p w14:paraId="4E46352A" w14:textId="7814E81A" w:rsidR="0026023F" w:rsidRDefault="003F258F" w:rsidP="00BE01C6">
      <w:pPr>
        <w:spacing w:line="276" w:lineRule="auto"/>
      </w:pPr>
      <w:r>
        <w:t xml:space="preserve">Etter strl. § 392 </w:t>
      </w:r>
      <w:r w:rsidR="00F7562B">
        <w:t xml:space="preserve">(2) kan straffen ikke bli høyere enn bøter dersom den skyldige hadde som hensikt å gjøre en virkelig eller formentlig rett gjeldende. Dette gjelder også hvis gjerningspersonen selv var klar over at selvtekten var ulovlig, jf. </w:t>
      </w:r>
      <w:r w:rsidR="0026023F">
        <w:t>”Straffeloven med kommentarer. D. 3: Forseelser”</w:t>
      </w:r>
      <w:r w:rsidR="00F7562B">
        <w:t xml:space="preserve"> (1998). </w:t>
      </w:r>
      <w:r w:rsidR="0026023F">
        <w:t xml:space="preserve"> </w:t>
      </w:r>
    </w:p>
    <w:p w14:paraId="3C97A400" w14:textId="77777777" w:rsidR="003165F1" w:rsidRDefault="003165F1" w:rsidP="00BE01C6">
      <w:pPr>
        <w:spacing w:line="276" w:lineRule="auto"/>
      </w:pPr>
    </w:p>
    <w:p w14:paraId="7504A938" w14:textId="24558601" w:rsidR="003165F1" w:rsidRDefault="0041254C" w:rsidP="00BE01C6">
      <w:pPr>
        <w:spacing w:line="276" w:lineRule="auto"/>
      </w:pPr>
      <w:r>
        <w:t xml:space="preserve">”Formentlig” i strl. § 392 </w:t>
      </w:r>
      <w:r w:rsidR="00150D31">
        <w:t xml:space="preserve">(2) </w:t>
      </w:r>
      <w:r>
        <w:t>viser til tilfeller der siktede er i villfarelse</w:t>
      </w:r>
      <w:r w:rsidR="00F6586A">
        <w:t xml:space="preserve"> om sin rett, jf. kommentar av Magnus Matningsdal i Norsk lovkommentar</w:t>
      </w:r>
      <w:r w:rsidR="00FA4C71">
        <w:t xml:space="preserve">. </w:t>
      </w:r>
      <w:r>
        <w:t xml:space="preserve"> </w:t>
      </w:r>
    </w:p>
    <w:p w14:paraId="00029E2C" w14:textId="77777777" w:rsidR="00150D31" w:rsidRDefault="00150D31" w:rsidP="00BE01C6">
      <w:pPr>
        <w:spacing w:line="276" w:lineRule="auto"/>
      </w:pPr>
    </w:p>
    <w:p w14:paraId="5547E8DD" w14:textId="7FB8A759" w:rsidR="00DA6953" w:rsidRDefault="00BA1E83" w:rsidP="00BE01C6">
      <w:pPr>
        <w:spacing w:line="276" w:lineRule="auto"/>
      </w:pPr>
      <w:r>
        <w:t xml:space="preserve">I RG 1998 s. 1317 </w:t>
      </w:r>
      <w:r w:rsidR="00203089">
        <w:t>ble den tiltalte i</w:t>
      </w:r>
      <w:r>
        <w:t xml:space="preserve"> Hålogaland </w:t>
      </w:r>
      <w:r w:rsidR="00203089">
        <w:t>lagmannsrett dømt for overtredelse av strl. § 392. Tiltalte var daglig leder i et bilforhandlerfirma og hadde urettmessig tatt tilbake en bil fra en kjøper so</w:t>
      </w:r>
      <w:r w:rsidR="009144EC">
        <w:t xml:space="preserve">m hadde misligholdt kredittkjøpsavtalen. </w:t>
      </w:r>
      <w:r w:rsidR="002A3694">
        <w:t xml:space="preserve">Lagmannsretten la til grunn at tiltalte handlet i den hensikt å gjøre en formentlig rett gjeldende, og strl. § 392 (2) kom derfor til anvendelse. </w:t>
      </w:r>
    </w:p>
    <w:p w14:paraId="2905DF3B" w14:textId="77777777" w:rsidR="00C05D6F" w:rsidRDefault="00C05D6F" w:rsidP="00BE01C6">
      <w:pPr>
        <w:spacing w:line="276" w:lineRule="auto"/>
      </w:pPr>
    </w:p>
    <w:p w14:paraId="6215143F" w14:textId="14B265F9" w:rsidR="00A900CD" w:rsidRDefault="00C05D6F" w:rsidP="00BE01C6">
      <w:pPr>
        <w:spacing w:line="276" w:lineRule="auto"/>
      </w:pPr>
      <w:r>
        <w:t xml:space="preserve">Jeg legger til grunn at </w:t>
      </w:r>
      <w:r w:rsidR="00FC7F4C">
        <w:t xml:space="preserve">PÅ var klar over at hans selvtekt var ulovlig. Ettersom PÅ handlet med den hensikt å få en vare som han mente han hadde krav på, så </w:t>
      </w:r>
      <w:r w:rsidR="009C32B4">
        <w:t xml:space="preserve">kan det ikke sies at det </w:t>
      </w:r>
      <w:r w:rsidR="00FC7F4C">
        <w:t xml:space="preserve">forelå en ”uberettiget vinning”. </w:t>
      </w:r>
      <w:r w:rsidR="00745574">
        <w:t>Strl. § 392 (2) kommer dermed til anvendelse.</w:t>
      </w:r>
    </w:p>
    <w:p w14:paraId="56039692" w14:textId="77777777" w:rsidR="00F079B6" w:rsidRDefault="00F079B6" w:rsidP="00BE01C6">
      <w:pPr>
        <w:spacing w:line="276" w:lineRule="auto"/>
      </w:pPr>
    </w:p>
    <w:p w14:paraId="2E134333" w14:textId="5BEB2FA9" w:rsidR="00FA1C36" w:rsidRDefault="00F079B6" w:rsidP="00BE01C6">
      <w:pPr>
        <w:spacing w:line="276" w:lineRule="auto"/>
      </w:pPr>
      <w:r>
        <w:t xml:space="preserve">For særdeles formildende omstendigheter så kan straffen falle bort i selvtektssituasjoner, jf. str. § 392 (2) 2. Pkt. </w:t>
      </w:r>
      <w:r w:rsidR="00253C0C">
        <w:t xml:space="preserve">Dette var tilfelle </w:t>
      </w:r>
      <w:r w:rsidR="00AF1A54">
        <w:t xml:space="preserve">i en grensetvist i Rt. 1913 s. 193, ettersom situasjonen ble ansett som nødlignende da en hindring ble fjernet. </w:t>
      </w:r>
      <w:r w:rsidR="000D0FEE">
        <w:t xml:space="preserve">I slike tilfeller blir siktede straffri, selv om handlingen ikke er rettmessig. Verken loven eller forarbeider har trukket opp hva som anses som særdeles formildende omstendigheter, men relevante momenter kan for eksempel være at det nærmest foreligger en nødtilstand, jf. </w:t>
      </w:r>
      <w:r w:rsidR="00FA1C36">
        <w:t>”Straffeloven med kommentarer. D. 3: Forseelser” (1998)</w:t>
      </w:r>
      <w:r w:rsidR="00656A9A">
        <w:t xml:space="preserve"> s. 250</w:t>
      </w:r>
      <w:r w:rsidR="00FA1C36">
        <w:t xml:space="preserve">.  </w:t>
      </w:r>
    </w:p>
    <w:p w14:paraId="7A421E3C" w14:textId="77777777" w:rsidR="000D0FEE" w:rsidRDefault="000D0FEE" w:rsidP="00BE01C6">
      <w:pPr>
        <w:spacing w:line="276" w:lineRule="auto"/>
      </w:pPr>
    </w:p>
    <w:p w14:paraId="6A2FABA0" w14:textId="41CA5D4F" w:rsidR="00745574" w:rsidRDefault="00D71A39" w:rsidP="00BE01C6">
      <w:pPr>
        <w:spacing w:line="276" w:lineRule="auto"/>
      </w:pPr>
      <w:r>
        <w:t xml:space="preserve">Ut fra faktum er det heller ingenting som tilsier at det foreligger særlige formildende omstendigheter i vår sak, slik at PÅ ikke kan fritas for straff etter strl. § 392 (2) 2. </w:t>
      </w:r>
      <w:r w:rsidR="00C24B61">
        <w:t>p</w:t>
      </w:r>
      <w:r>
        <w:t xml:space="preserve">kt. </w:t>
      </w:r>
    </w:p>
    <w:p w14:paraId="0B6A8A67" w14:textId="77777777" w:rsidR="00C24B61" w:rsidRDefault="00C24B61" w:rsidP="00BE01C6">
      <w:pPr>
        <w:spacing w:line="276" w:lineRule="auto"/>
      </w:pPr>
    </w:p>
    <w:p w14:paraId="114C4EB6" w14:textId="11AA7C97" w:rsidR="00C24B61" w:rsidRDefault="00A860E0" w:rsidP="00BE01C6">
      <w:pPr>
        <w:spacing w:line="276" w:lineRule="auto"/>
      </w:pPr>
      <w:r>
        <w:t xml:space="preserve">PÅs handling er </w:t>
      </w:r>
      <w:r w:rsidR="00A07B62">
        <w:t xml:space="preserve">tvert imot </w:t>
      </w:r>
      <w:r>
        <w:t xml:space="preserve">klanderverdig ettersom han </w:t>
      </w:r>
      <w:r w:rsidR="00A07B62">
        <w:t>låste</w:t>
      </w:r>
      <w:r>
        <w:t xml:space="preserve"> seg inn på </w:t>
      </w:r>
      <w:r w:rsidR="00A07B62">
        <w:t>i et</w:t>
      </w:r>
      <w:r>
        <w:t xml:space="preserve"> avstengt </w:t>
      </w:r>
      <w:r w:rsidR="00A07B62">
        <w:t>lokale</w:t>
      </w:r>
      <w:r>
        <w:t xml:space="preserve">, og </w:t>
      </w:r>
      <w:r w:rsidR="00A07B62">
        <w:t>byttet til se en ny</w:t>
      </w:r>
      <w:r>
        <w:t xml:space="preserve"> vare, vel vitende </w:t>
      </w:r>
      <w:r w:rsidR="00A07B62">
        <w:t xml:space="preserve">om </w:t>
      </w:r>
      <w:r>
        <w:t xml:space="preserve">at en eventuell ny kjøper ville ha fått en klokke som ikke gikk riktig. </w:t>
      </w:r>
    </w:p>
    <w:p w14:paraId="1507BD20" w14:textId="77777777" w:rsidR="00745574" w:rsidRDefault="00745574" w:rsidP="00BE01C6">
      <w:pPr>
        <w:spacing w:line="276" w:lineRule="auto"/>
      </w:pPr>
    </w:p>
    <w:p w14:paraId="64EF30CA" w14:textId="62A5E904" w:rsidR="00745574" w:rsidRDefault="00A45DAB" w:rsidP="00BE01C6">
      <w:pPr>
        <w:spacing w:line="276" w:lineRule="auto"/>
      </w:pPr>
      <w:r>
        <w:t>PÅ har overtrådt strl. § 392 (2), og det er heller ikke grunnlag for å frita</w:t>
      </w:r>
      <w:r w:rsidR="00FF007B">
        <w:t xml:space="preserve"> </w:t>
      </w:r>
      <w:r>
        <w:t>ham for</w:t>
      </w:r>
      <w:r w:rsidR="00FF007B">
        <w:t xml:space="preserve"> straff etter strl. § 392 (2) 2. Pkt. </w:t>
      </w:r>
    </w:p>
    <w:p w14:paraId="1F07BC45" w14:textId="77777777" w:rsidR="004F18AB" w:rsidRDefault="004F18AB" w:rsidP="00BE01C6">
      <w:pPr>
        <w:spacing w:line="276" w:lineRule="auto"/>
      </w:pPr>
    </w:p>
    <w:p w14:paraId="06CE581F" w14:textId="77777777" w:rsidR="004F18AB" w:rsidRDefault="004F18AB" w:rsidP="00BE01C6">
      <w:pPr>
        <w:spacing w:line="276" w:lineRule="auto"/>
      </w:pPr>
    </w:p>
    <w:p w14:paraId="55309868" w14:textId="1E306B27" w:rsidR="00AC5433" w:rsidRPr="00CE6846" w:rsidRDefault="00AC5433" w:rsidP="00BE01C6">
      <w:pPr>
        <w:spacing w:line="276" w:lineRule="auto"/>
        <w:rPr>
          <w:b/>
        </w:rPr>
      </w:pPr>
      <w:r w:rsidRPr="00CE6846">
        <w:rPr>
          <w:b/>
        </w:rPr>
        <w:t xml:space="preserve">Under forutsetningen av at det foreligger et tyveri av klokka, er spørsmålet om tyveriet er å anse som grovt. </w:t>
      </w:r>
    </w:p>
    <w:p w14:paraId="7EB7331B" w14:textId="77777777" w:rsidR="00AC5433" w:rsidRDefault="00AC5433" w:rsidP="00BE01C6">
      <w:pPr>
        <w:spacing w:line="276" w:lineRule="auto"/>
      </w:pPr>
    </w:p>
    <w:p w14:paraId="7AE4D3F4" w14:textId="77F36C39" w:rsidR="003E572F" w:rsidRDefault="00BE25C5" w:rsidP="00BE01C6">
      <w:pPr>
        <w:spacing w:line="276" w:lineRule="auto"/>
      </w:pPr>
      <w:r>
        <w:t>Det rettslige grunnlaget er straffeloven § 258.</w:t>
      </w:r>
    </w:p>
    <w:p w14:paraId="44E09CFD" w14:textId="77777777" w:rsidR="00BE25C5" w:rsidRDefault="00BE25C5" w:rsidP="00BE01C6">
      <w:pPr>
        <w:spacing w:line="276" w:lineRule="auto"/>
      </w:pPr>
    </w:p>
    <w:p w14:paraId="508BD080" w14:textId="0BDF5F99" w:rsidR="00BE25C5" w:rsidRDefault="00BE25C5" w:rsidP="00BE01C6">
      <w:pPr>
        <w:spacing w:line="276" w:lineRule="auto"/>
      </w:pPr>
      <w:r>
        <w:t>Om et tyveri anses for å være grovt skal det bl.a. særlig legges vekt på om det er ”forøvd ved innbrudd”</w:t>
      </w:r>
      <w:r w:rsidR="00181F61">
        <w:t xml:space="preserve"> og om tyveriet er av betydelig verdi, eller om ”gjerningen av andre grunner er av særlig farlig eller samfunnsskadelig art, jf. § 258 (2). </w:t>
      </w:r>
    </w:p>
    <w:p w14:paraId="5261ADBA" w14:textId="77777777" w:rsidR="009E63D1" w:rsidRDefault="009E63D1" w:rsidP="00BE01C6">
      <w:pPr>
        <w:spacing w:line="276" w:lineRule="auto"/>
      </w:pPr>
    </w:p>
    <w:p w14:paraId="0852A9B7" w14:textId="2B8D5C16" w:rsidR="009E63D1" w:rsidRDefault="009E63D1" w:rsidP="00BE01C6">
      <w:pPr>
        <w:spacing w:line="276" w:lineRule="auto"/>
      </w:pPr>
      <w:r>
        <w:t>Et tyveri som er forøvd ved innbrudd skal k</w:t>
      </w:r>
      <w:r w:rsidR="00821EFF">
        <w:t xml:space="preserve">un unntaksvis anses som simpelt. Videre kreves det at tyveriet anslås til være å ha en verdi på nærmere 100 000 kr for å kunne anses å ha en ”betydelig verdi”, </w:t>
      </w:r>
      <w:r>
        <w:t xml:space="preserve">jf. Norsk lovkommentar av Magnus Matningsdal 01.09.2014. </w:t>
      </w:r>
    </w:p>
    <w:p w14:paraId="62F17F15" w14:textId="77777777" w:rsidR="00821EFF" w:rsidRDefault="00821EFF" w:rsidP="00BE01C6">
      <w:pPr>
        <w:spacing w:line="276" w:lineRule="auto"/>
      </w:pPr>
    </w:p>
    <w:p w14:paraId="6AB5207D" w14:textId="0FB2BBFB" w:rsidR="00701755" w:rsidRDefault="00C44A02" w:rsidP="00BE01C6">
      <w:pPr>
        <w:spacing w:line="276" w:lineRule="auto"/>
      </w:pPr>
      <w:r>
        <w:t>I Rt. 2006 s. 853 underslo en bankansatt 102 000 kr,</w:t>
      </w:r>
      <w:r w:rsidR="00AF509C">
        <w:t xml:space="preserve"> noe som ble ansett som grovt. Der ble det uttalt at beløpet ”ikke ligger langt over terskelen” (avsnitt 13). </w:t>
      </w:r>
    </w:p>
    <w:p w14:paraId="5BA52B64" w14:textId="77777777" w:rsidR="007844BA" w:rsidRDefault="007844BA" w:rsidP="00BE01C6">
      <w:pPr>
        <w:spacing w:line="276" w:lineRule="auto"/>
      </w:pPr>
    </w:p>
    <w:p w14:paraId="6A7E7F94" w14:textId="6880F51B" w:rsidR="007844BA" w:rsidRDefault="007844BA" w:rsidP="00BE01C6">
      <w:pPr>
        <w:spacing w:line="276" w:lineRule="auto"/>
      </w:pPr>
      <w:r>
        <w:t xml:space="preserve">Klokka som PÅ tok hadde en verdi på 25 000 kr. Dette er langt unna 100 000 kr, og trekker i retning av at tyveriet ikke var grovt. På den annen side ble </w:t>
      </w:r>
      <w:r w:rsidR="00154256">
        <w:t xml:space="preserve">tyveriet </w:t>
      </w:r>
      <w:r>
        <w:t>begått på nattestid o</w:t>
      </w:r>
      <w:r w:rsidR="00E14E23">
        <w:t>g på en innbruddslignende måte, noe som kan tale for at innbruddet er å anse som grovt.</w:t>
      </w:r>
    </w:p>
    <w:p w14:paraId="58A26170" w14:textId="77777777" w:rsidR="00E14E23" w:rsidRDefault="00E14E23" w:rsidP="00BE01C6">
      <w:pPr>
        <w:spacing w:line="276" w:lineRule="auto"/>
      </w:pPr>
    </w:p>
    <w:p w14:paraId="7328CFC1" w14:textId="77777777" w:rsidR="008A22A6" w:rsidRDefault="0059498B" w:rsidP="00BE01C6">
      <w:pPr>
        <w:spacing w:line="276" w:lineRule="auto"/>
      </w:pPr>
      <w:r>
        <w:t xml:space="preserve">Et vilkår for å kunne straffes er at det må foreligge skyld. </w:t>
      </w:r>
      <w:r w:rsidR="00373A9A">
        <w:t xml:space="preserve">PÅ tok feil av klokka han tok, som viste seg å være langt dyrere enn klokka han hadde kjøpt tidligere. </w:t>
      </w:r>
    </w:p>
    <w:p w14:paraId="2C50B998" w14:textId="77777777" w:rsidR="008A22A6" w:rsidRDefault="008A22A6" w:rsidP="00BE01C6">
      <w:pPr>
        <w:spacing w:line="276" w:lineRule="auto"/>
      </w:pPr>
    </w:p>
    <w:p w14:paraId="2AC8DB8A" w14:textId="537174B7" w:rsidR="008A22A6" w:rsidRDefault="008A22A6" w:rsidP="00BE01C6">
      <w:pPr>
        <w:spacing w:line="276" w:lineRule="auto"/>
      </w:pPr>
      <w:r>
        <w:t xml:space="preserve">Etter strl. § 42 (1) så kan faktisk villfarelse være straffriende. Men etter fjerde ledd så skal det legges vekt på gjenstandens faktiske verdi, og ikke hva gjerningspersonen trodde at verdien var. Dette begrunnes bl.a. med rettstekniske hensyn, fordi det ikke er lett å vite hva gjerningspersonen tenkte om gjenstandens verdi, jf. ”Straffeloven med kommentarer. D. 1: Alminnelige bestemmeselser (1997). </w:t>
      </w:r>
    </w:p>
    <w:p w14:paraId="7E99201A" w14:textId="77777777" w:rsidR="008A22A6" w:rsidRDefault="008A22A6" w:rsidP="00BE01C6">
      <w:pPr>
        <w:spacing w:line="276" w:lineRule="auto"/>
      </w:pPr>
    </w:p>
    <w:p w14:paraId="42976047" w14:textId="2CBF0FF7" w:rsidR="008A22A6" w:rsidRDefault="008A22A6" w:rsidP="00BE01C6">
      <w:pPr>
        <w:spacing w:line="276" w:lineRule="auto"/>
      </w:pPr>
      <w:r>
        <w:t xml:space="preserve">Etter strl. § 42 (4) </w:t>
      </w:r>
      <w:r w:rsidR="00C865D1">
        <w:t>så er det uten betydning hva PÅ trodde var klokkens verd</w:t>
      </w:r>
      <w:r w:rsidR="00A518C1">
        <w:t xml:space="preserve">i, og han kan dermed straffes etter strl. § 258, under forutsetningen at tyveriet er å anse for å være grovt. </w:t>
      </w:r>
    </w:p>
    <w:p w14:paraId="2CAABA6F" w14:textId="77777777" w:rsidR="00A518C1" w:rsidRDefault="00A518C1" w:rsidP="00BE01C6">
      <w:pPr>
        <w:spacing w:line="276" w:lineRule="auto"/>
      </w:pPr>
    </w:p>
    <w:p w14:paraId="38D42FD4" w14:textId="03086215" w:rsidR="00A518C1" w:rsidRDefault="00A518C1" w:rsidP="00BE01C6">
      <w:pPr>
        <w:spacing w:line="276" w:lineRule="auto"/>
      </w:pPr>
      <w:r>
        <w:t xml:space="preserve">Jeg er under tvil kommet frem til at det foreligger grovt tyveri etter strl. § 258 etter en samlet vurdering. Tyveriet var begått på nattestid på en innbruddslignende måte, og det er spesielt skjerpende at vekteren, som skal ivareta senterets interesse, er med på noe slikt, noe som PÅ må ha vært klar over. </w:t>
      </w:r>
    </w:p>
    <w:p w14:paraId="41BCCCC4" w14:textId="77777777" w:rsidR="00A518C1" w:rsidRDefault="00A518C1" w:rsidP="00BE01C6">
      <w:pPr>
        <w:spacing w:line="276" w:lineRule="auto"/>
      </w:pPr>
    </w:p>
    <w:p w14:paraId="73A7822A" w14:textId="7C396A7C" w:rsidR="00A518C1" w:rsidRDefault="00A518C1" w:rsidP="00BE01C6">
      <w:pPr>
        <w:spacing w:line="276" w:lineRule="auto"/>
      </w:pPr>
      <w:r>
        <w:t xml:space="preserve">PÅ har derfor utført et grovt tyveri. </w:t>
      </w:r>
    </w:p>
    <w:p w14:paraId="6F33AB69" w14:textId="77777777" w:rsidR="00F53A58" w:rsidRDefault="00F53A58" w:rsidP="00BE01C6">
      <w:pPr>
        <w:spacing w:line="276" w:lineRule="auto"/>
      </w:pPr>
    </w:p>
    <w:p w14:paraId="2C43CCD0" w14:textId="77777777" w:rsidR="00F53A58" w:rsidRDefault="00F53A58" w:rsidP="00BE01C6">
      <w:pPr>
        <w:spacing w:line="276" w:lineRule="auto"/>
      </w:pPr>
    </w:p>
    <w:p w14:paraId="2FECCEDE" w14:textId="77777777" w:rsidR="008A22A6" w:rsidRDefault="008A22A6" w:rsidP="00BE01C6">
      <w:pPr>
        <w:spacing w:line="276" w:lineRule="auto"/>
      </w:pPr>
    </w:p>
    <w:p w14:paraId="0BEB53D9" w14:textId="5A393D6E" w:rsidR="00C9247A" w:rsidRPr="00C9247A" w:rsidRDefault="00C9247A" w:rsidP="00C9247A">
      <w:pPr>
        <w:pStyle w:val="Listeavsnitt"/>
        <w:numPr>
          <w:ilvl w:val="0"/>
          <w:numId w:val="2"/>
        </w:numPr>
        <w:spacing w:line="276" w:lineRule="auto"/>
        <w:rPr>
          <w:b/>
          <w:u w:val="single"/>
        </w:rPr>
      </w:pPr>
      <w:r w:rsidRPr="00C9247A">
        <w:rPr>
          <w:b/>
          <w:u w:val="single"/>
        </w:rPr>
        <w:t>LH og straffeskyld:</w:t>
      </w:r>
    </w:p>
    <w:p w14:paraId="1BD341A6" w14:textId="77777777" w:rsidR="00C9247A" w:rsidRDefault="00C9247A" w:rsidP="00C9247A">
      <w:pPr>
        <w:spacing w:line="276" w:lineRule="auto"/>
        <w:ind w:left="360"/>
      </w:pPr>
    </w:p>
    <w:p w14:paraId="42BD3F13" w14:textId="7B9142AE" w:rsidR="00DA6953" w:rsidRDefault="00AB1BE3" w:rsidP="00BE01C6">
      <w:pPr>
        <w:spacing w:line="276" w:lineRule="auto"/>
      </w:pPr>
      <w:r>
        <w:t>LH er tiltalt for to forhold: 1) Tyveri eller forsøk på tyveri av diamantsmykke fra gullsmed Blanch</w:t>
      </w:r>
      <w:r w:rsidR="00FD6BF9">
        <w:t xml:space="preserve">. 2) Forsøk på hvitvasking av utbytte fra tyverihandling ved at diamantsmykket ble først forsøkt solgt til PÅ. </w:t>
      </w:r>
    </w:p>
    <w:p w14:paraId="1C9A2BCF" w14:textId="77777777" w:rsidR="00072B8B" w:rsidRDefault="00072B8B" w:rsidP="00BE01C6">
      <w:pPr>
        <w:spacing w:line="276" w:lineRule="auto"/>
      </w:pPr>
    </w:p>
    <w:p w14:paraId="5E14CA2D" w14:textId="35CC0554" w:rsidR="00C9247A" w:rsidRDefault="00783CC0" w:rsidP="00BE01C6">
      <w:pPr>
        <w:spacing w:line="276" w:lineRule="auto"/>
      </w:pPr>
      <w:r>
        <w:t>LH anfører at han ikke kan straffes for tyveri eller forsøk på hvitvasking av diamantsmykker, i alle fall ikke i konkurrens.</w:t>
      </w:r>
    </w:p>
    <w:p w14:paraId="40E895EA" w14:textId="77777777" w:rsidR="00783CC0" w:rsidRDefault="00783CC0" w:rsidP="00BE01C6">
      <w:pPr>
        <w:spacing w:line="276" w:lineRule="auto"/>
      </w:pPr>
    </w:p>
    <w:p w14:paraId="03C2C805" w14:textId="77777777" w:rsidR="003D3F8D" w:rsidRDefault="003D3F8D" w:rsidP="00BE01C6">
      <w:pPr>
        <w:spacing w:line="276" w:lineRule="auto"/>
      </w:pPr>
    </w:p>
    <w:p w14:paraId="528BCFCC" w14:textId="77777777" w:rsidR="00550340" w:rsidRDefault="00550340" w:rsidP="00BE01C6">
      <w:pPr>
        <w:spacing w:line="276" w:lineRule="auto"/>
      </w:pPr>
    </w:p>
    <w:p w14:paraId="58AFA1CC" w14:textId="40ECFE5B" w:rsidR="00550340" w:rsidRPr="00550340" w:rsidRDefault="00550340" w:rsidP="00BE01C6">
      <w:pPr>
        <w:spacing w:line="276" w:lineRule="auto"/>
        <w:rPr>
          <w:b/>
        </w:rPr>
      </w:pPr>
      <w:r w:rsidRPr="00550340">
        <w:rPr>
          <w:b/>
        </w:rPr>
        <w:t>Spørsmålet er om LHs handling er å anse som et tyveri?</w:t>
      </w:r>
    </w:p>
    <w:p w14:paraId="67D7127C" w14:textId="77777777" w:rsidR="00550340" w:rsidRDefault="00550340" w:rsidP="00BE01C6">
      <w:pPr>
        <w:spacing w:line="276" w:lineRule="auto"/>
      </w:pPr>
    </w:p>
    <w:p w14:paraId="5EE6C4B2" w14:textId="61F28C59" w:rsidR="00550340" w:rsidRDefault="00D52E19" w:rsidP="00BE01C6">
      <w:pPr>
        <w:spacing w:line="276" w:lineRule="auto"/>
      </w:pPr>
      <w:r>
        <w:t xml:space="preserve">Jeg viser til tidligere diskusjon om PÅ hadde begått et tyveri. </w:t>
      </w:r>
    </w:p>
    <w:p w14:paraId="170CD275" w14:textId="77777777" w:rsidR="00D52E19" w:rsidRDefault="00D52E19" w:rsidP="00BE01C6">
      <w:pPr>
        <w:spacing w:line="276" w:lineRule="auto"/>
      </w:pPr>
    </w:p>
    <w:p w14:paraId="30FF14DD" w14:textId="1F65A86C" w:rsidR="00D52E19" w:rsidRDefault="00D52E19" w:rsidP="00BE01C6">
      <w:pPr>
        <w:spacing w:line="276" w:lineRule="auto"/>
      </w:pPr>
      <w:r>
        <w:t>Etter strl. § 257 så må gjenstanden være ”borttatt”, og gjenstanden må også ha tilhørt en annen. Det er ikke tvilsomt at smykket tilhører gullsmedbutikken Blanch.  Siden LH prøvde å selge smykket til PÅ så hadde også LH som hensikt å skaffe seg en ”uberettiget vinning”.</w:t>
      </w:r>
    </w:p>
    <w:p w14:paraId="5614C01F" w14:textId="77777777" w:rsidR="00550340" w:rsidRDefault="00550340" w:rsidP="00BE01C6">
      <w:pPr>
        <w:spacing w:line="276" w:lineRule="auto"/>
      </w:pPr>
    </w:p>
    <w:p w14:paraId="5456D7E9" w14:textId="3E82D765" w:rsidR="00D9056F" w:rsidRDefault="00930EA2" w:rsidP="00BE01C6">
      <w:pPr>
        <w:spacing w:line="276" w:lineRule="auto"/>
      </w:pPr>
      <w:r>
        <w:t xml:space="preserve">Som tidligere påpekt så er det ikke nødvendig at gjenstanden må være ”bortatt” i den forstand at </w:t>
      </w:r>
      <w:r w:rsidR="00D9056F">
        <w:t xml:space="preserve">gjenstanden fraktes bort fra stedet, jf. kjøttlårdommen og kjettingdommen. Men i </w:t>
      </w:r>
      <w:r w:rsidR="00C86006">
        <w:t>de nevnte</w:t>
      </w:r>
      <w:r w:rsidR="00D9056F">
        <w:t xml:space="preserve"> sakene ble ikke gjenstanden tatt med fordi tyvene ble oppdaget. Dette var ikke tilfelle i vår sak. Smykket ble ikke tatt ettersom PÅ ikke kunne gjøre opp for seg på stedet med kontanter. Hvis LH virkelig ville ta smykket så er det nærliggende at han ville akseptert at PÅ kunne ha betalt for det ved en senere anledning. </w:t>
      </w:r>
    </w:p>
    <w:p w14:paraId="529D9125" w14:textId="77777777" w:rsidR="00D9056F" w:rsidRDefault="00D9056F" w:rsidP="00BE01C6">
      <w:pPr>
        <w:spacing w:line="276" w:lineRule="auto"/>
      </w:pPr>
    </w:p>
    <w:p w14:paraId="01D62877" w14:textId="6F961A66" w:rsidR="00D9056F" w:rsidRDefault="00D9056F" w:rsidP="00BE01C6">
      <w:pPr>
        <w:spacing w:line="276" w:lineRule="auto"/>
      </w:pPr>
      <w:r>
        <w:t xml:space="preserve">Siden LH la fra seg smykket frivillig, så kan han ikke sies å ha stjelt smykket. </w:t>
      </w:r>
    </w:p>
    <w:p w14:paraId="1BDFB100" w14:textId="77777777" w:rsidR="00D9056F" w:rsidRDefault="00D9056F" w:rsidP="00BE01C6">
      <w:pPr>
        <w:spacing w:line="276" w:lineRule="auto"/>
      </w:pPr>
    </w:p>
    <w:p w14:paraId="6C7FAD3E" w14:textId="79261CD4" w:rsidR="00D9056F" w:rsidRDefault="00D9056F" w:rsidP="00BE01C6">
      <w:pPr>
        <w:spacing w:line="276" w:lineRule="auto"/>
      </w:pPr>
      <w:r>
        <w:t xml:space="preserve">PÅ har dermed ikke begått et tyveri av smykket etter strl. § 257. </w:t>
      </w:r>
    </w:p>
    <w:p w14:paraId="751B4ED5" w14:textId="22A5EDB9" w:rsidR="00550340" w:rsidRDefault="00D9056F" w:rsidP="00BE01C6">
      <w:pPr>
        <w:spacing w:line="276" w:lineRule="auto"/>
      </w:pPr>
      <w:r>
        <w:t xml:space="preserve"> </w:t>
      </w:r>
    </w:p>
    <w:p w14:paraId="4FDB2783" w14:textId="77777777" w:rsidR="00022B85" w:rsidRDefault="00022B85" w:rsidP="00BE01C6">
      <w:pPr>
        <w:spacing w:line="276" w:lineRule="auto"/>
      </w:pPr>
    </w:p>
    <w:p w14:paraId="24AD20DB" w14:textId="77777777" w:rsidR="00022B85" w:rsidRDefault="00022B85" w:rsidP="00BE01C6">
      <w:pPr>
        <w:spacing w:line="276" w:lineRule="auto"/>
      </w:pPr>
    </w:p>
    <w:p w14:paraId="2587AE99" w14:textId="39428553" w:rsidR="00022B85" w:rsidRPr="00022B85" w:rsidRDefault="00022B85" w:rsidP="00BE01C6">
      <w:pPr>
        <w:spacing w:line="276" w:lineRule="auto"/>
        <w:rPr>
          <w:b/>
        </w:rPr>
      </w:pPr>
      <w:r w:rsidRPr="00022B85">
        <w:rPr>
          <w:b/>
        </w:rPr>
        <w:t>Spørsmålet er om LH har foretatt et straffbart forsøk?</w:t>
      </w:r>
    </w:p>
    <w:p w14:paraId="3578CDB6" w14:textId="77777777" w:rsidR="00FE34DC" w:rsidRDefault="00FE34DC" w:rsidP="00FE34DC">
      <w:pPr>
        <w:spacing w:line="276" w:lineRule="auto"/>
      </w:pPr>
    </w:p>
    <w:p w14:paraId="0B031E5D" w14:textId="07CF8F10" w:rsidR="008D3265" w:rsidRDefault="00DB5BD9" w:rsidP="00FE34DC">
      <w:pPr>
        <w:spacing w:line="276" w:lineRule="auto"/>
      </w:pPr>
      <w:r>
        <w:t xml:space="preserve">Etter strl. § 49 (1) er det </w:t>
      </w:r>
      <w:r w:rsidR="00FD0A7A">
        <w:t>en selvstendig straffbar handling å</w:t>
      </w:r>
      <w:r>
        <w:t xml:space="preserve"> forsøke </w:t>
      </w:r>
      <w:r w:rsidR="00FD0A7A">
        <w:t>og</w:t>
      </w:r>
      <w:r>
        <w:t xml:space="preserve"> </w:t>
      </w:r>
      <w:r w:rsidR="00CA30D2">
        <w:t>begå</w:t>
      </w:r>
      <w:r w:rsidR="00CD511E">
        <w:t xml:space="preserve"> en forbrytelse, til tross for at den ikke er blitt fullbyrdet. </w:t>
      </w:r>
      <w:r w:rsidR="00C81544">
        <w:t xml:space="preserve">”dens Utdførelse tilsigtedes paabegydt” tilsier at handlingen </w:t>
      </w:r>
      <w:r w:rsidR="00FD0A7A">
        <w:t>må ha kommet et stykke på vei, og at forbrytelsen er påbegynt.</w:t>
      </w:r>
    </w:p>
    <w:p w14:paraId="24559EA3" w14:textId="77777777" w:rsidR="00CA30D2" w:rsidRDefault="00CA30D2" w:rsidP="00FE34DC">
      <w:pPr>
        <w:spacing w:line="276" w:lineRule="auto"/>
      </w:pPr>
    </w:p>
    <w:p w14:paraId="0A75EA15" w14:textId="77F8F724" w:rsidR="00DC595E" w:rsidRDefault="00507A14" w:rsidP="00FE34DC">
      <w:pPr>
        <w:spacing w:line="276" w:lineRule="auto"/>
      </w:pPr>
      <w:r>
        <w:t xml:space="preserve">Det er ingen klar grense mellom den straffrie forberedelse og forsøket, </w:t>
      </w:r>
      <w:r w:rsidR="00DC595E">
        <w:t xml:space="preserve">noe kjennelsen Rt. 1948 s. 531 om en promillesak bekreftet. Der ble det uttalt at ”grensen mellom de straffri forberedende handlinger og det fullendte forsøk er vag og flytende”. </w:t>
      </w:r>
    </w:p>
    <w:p w14:paraId="273F625E" w14:textId="77777777" w:rsidR="00DC595E" w:rsidRDefault="00DC595E" w:rsidP="00FE34DC">
      <w:pPr>
        <w:spacing w:line="276" w:lineRule="auto"/>
      </w:pPr>
    </w:p>
    <w:p w14:paraId="03B3A976" w14:textId="68A1EE49" w:rsidR="00CA30D2" w:rsidRDefault="00507A14" w:rsidP="00FE34DC">
      <w:pPr>
        <w:spacing w:line="276" w:lineRule="auto"/>
      </w:pPr>
      <w:r>
        <w:t xml:space="preserve">Andenæs skriver at gjerningspersonens opptreden ”må vise at nå er forberedelsenes og overveielsenes tid forbi, nå skrider han til verket” (Alminnelig strafferett, s. 316, 1997). </w:t>
      </w:r>
    </w:p>
    <w:p w14:paraId="135B6D32" w14:textId="3D6938D1" w:rsidR="00FE34DC" w:rsidRDefault="00FE34DC" w:rsidP="00FE34DC">
      <w:pPr>
        <w:spacing w:line="276" w:lineRule="auto"/>
      </w:pPr>
      <w:r>
        <w:t xml:space="preserve">I kjennelsen i Rt. 2005 s. 1625 kom HR til at det forelå fullbyrdelsesforsett, ettersom en mann hadde som hensikt å stjele mobiltelefoner fra bilene dersom bilene hadde vært ulåste. </w:t>
      </w:r>
    </w:p>
    <w:p w14:paraId="6141ED89" w14:textId="77777777" w:rsidR="00022B85" w:rsidRDefault="00022B85" w:rsidP="00BE01C6">
      <w:pPr>
        <w:spacing w:line="276" w:lineRule="auto"/>
      </w:pPr>
    </w:p>
    <w:p w14:paraId="62424DBC" w14:textId="7678A1F2" w:rsidR="00022B85" w:rsidRDefault="00022B85" w:rsidP="00022B85">
      <w:pPr>
        <w:spacing w:line="276" w:lineRule="auto"/>
      </w:pPr>
      <w:r>
        <w:t xml:space="preserve">I </w:t>
      </w:r>
      <w:r w:rsidR="00FE34DC">
        <w:t xml:space="preserve">den samme </w:t>
      </w:r>
      <w:r>
        <w:t xml:space="preserve">kjennelsen (Rt. 2005 s. 1625) kom det frem at to vilkår må være oppfylt for at det skal foreligget et straffbart forsøk. Gjerningspersonen må for det første ha som forsett å fullbyrde den straffbare handlingen, og for det andre så må det være foretatt ”en handling som viser at fullbyrdelsen skulle skje i noenlunde umiddelbar sammenheng med den foretatte handling”, jf. avsnitt 10. </w:t>
      </w:r>
    </w:p>
    <w:p w14:paraId="480191DA" w14:textId="77777777" w:rsidR="00022B85" w:rsidRDefault="00022B85" w:rsidP="00BE01C6">
      <w:pPr>
        <w:spacing w:line="276" w:lineRule="auto"/>
      </w:pPr>
    </w:p>
    <w:p w14:paraId="7F5F9885" w14:textId="77777777" w:rsidR="00515FEB" w:rsidRDefault="00DE10D2" w:rsidP="00BE01C6">
      <w:pPr>
        <w:spacing w:line="276" w:lineRule="auto"/>
      </w:pPr>
      <w:r>
        <w:t xml:space="preserve">I vår sak er det lite i faktum som tilsier at LH hadde som forsett å stjele diamantsmykket. Handlingen om å selge smykket til PÅ kan fremstå som en impulshandling på bakgrunn av at de gikk forbi gullsmedbutikken Blanch, og at PÅ påpekte at ektefellen fylte 50 år den samme morgningen, og at han hadde glemt å kjøpe gave. </w:t>
      </w:r>
      <w:r w:rsidR="007D5D20">
        <w:t>LH låste deretter opp gullsmedbutikken og tilbød smykket til PÅ for 12 000 kr, til tross for at det var verdt 18 000 kr.</w:t>
      </w:r>
    </w:p>
    <w:p w14:paraId="15B0A5B5" w14:textId="77777777" w:rsidR="009D0EB0" w:rsidRDefault="009D0EB0" w:rsidP="00BE01C6">
      <w:pPr>
        <w:spacing w:line="276" w:lineRule="auto"/>
      </w:pPr>
    </w:p>
    <w:p w14:paraId="34D1BF96" w14:textId="17F237A9" w:rsidR="009D0EB0" w:rsidRDefault="005E73B8" w:rsidP="00BE01C6">
      <w:pPr>
        <w:spacing w:line="276" w:lineRule="auto"/>
      </w:pPr>
      <w:r>
        <w:t xml:space="preserve">Et viktig moment for å vurdere grensen mellom den straffrie forberedelse og forsøket er den psykologiske forskjellen mellom det gjerningspersonen allerede har gjort og det som gjenstår før forbrytelsen blir fullbyrdet. </w:t>
      </w:r>
      <w:r w:rsidR="000E12CA">
        <w:t xml:space="preserve">Hvis en person </w:t>
      </w:r>
      <w:r w:rsidR="005C3EFC">
        <w:t xml:space="preserve">for eksempel </w:t>
      </w:r>
      <w:r w:rsidR="000E12CA">
        <w:t xml:space="preserve">sniker seg inn i et hus for å stjele, så kan vedkommende straffes for tyveri, siden en kan regne med at når tyven har kommet så langt så er vedkommende villig til å gjennomføre planen. Den psykologiske forskjellen </w:t>
      </w:r>
      <w:r w:rsidR="005C3EFC">
        <w:t>mellom det å snike seg inn et sted og det å stjele, er liten. Den psykologiske forskjellen er derimot større mellom det å snike seg inn et sted for så å voldta noen, og det må nok kreves at offeret må ha blitt angrepet, jf. Straffeloven med kommentarer. D. 1: Almind</w:t>
      </w:r>
      <w:r w:rsidR="003502F1">
        <w:t xml:space="preserve">elige bestemmelser (1997), § 49, jf. også NOU 1992: 23 s. 82. </w:t>
      </w:r>
    </w:p>
    <w:p w14:paraId="6DAFA51F" w14:textId="77777777" w:rsidR="009D0EB0" w:rsidRDefault="009D0EB0" w:rsidP="00BE01C6">
      <w:pPr>
        <w:spacing w:line="276" w:lineRule="auto"/>
      </w:pPr>
    </w:p>
    <w:p w14:paraId="558F3B33" w14:textId="64017131" w:rsidR="00515FEB" w:rsidRDefault="00975458" w:rsidP="00BE01C6">
      <w:pPr>
        <w:spacing w:line="276" w:lineRule="auto"/>
      </w:pPr>
      <w:r>
        <w:t xml:space="preserve">I kjennelsen Rt. 1939 s. 890 ble en mann straffet for forsøk på utuktig handling </w:t>
      </w:r>
      <w:r w:rsidR="00EA5555">
        <w:t xml:space="preserve">(strl. 212 (2)) </w:t>
      </w:r>
      <w:r>
        <w:t>mot et barn, siden mannen hadde lokket med seg ei lita jente opp på et loft</w:t>
      </w:r>
      <w:r w:rsidR="007B5EEF">
        <w:t xml:space="preserve">, men ble avbrutt av at det kom en person. </w:t>
      </w:r>
    </w:p>
    <w:p w14:paraId="2C32F8E0" w14:textId="77777777" w:rsidR="00975458" w:rsidRDefault="00975458" w:rsidP="00BE01C6">
      <w:pPr>
        <w:spacing w:line="276" w:lineRule="auto"/>
      </w:pPr>
    </w:p>
    <w:p w14:paraId="1BB0080B" w14:textId="275E06FC" w:rsidR="00DE10D2" w:rsidRDefault="00152D0C" w:rsidP="00BE01C6">
      <w:pPr>
        <w:spacing w:line="276" w:lineRule="auto"/>
      </w:pPr>
      <w:r>
        <w:t>I vår sak låste LH</w:t>
      </w:r>
      <w:r w:rsidR="00515FEB">
        <w:t xml:space="preserve"> faktisk opp</w:t>
      </w:r>
      <w:r>
        <w:t>,</w:t>
      </w:r>
      <w:r w:rsidR="00515FEB">
        <w:t xml:space="preserve"> og tilbød smykket </w:t>
      </w:r>
      <w:r>
        <w:t>til PÅ for</w:t>
      </w:r>
      <w:r w:rsidR="00515FEB">
        <w:t xml:space="preserve"> 12 000 </w:t>
      </w:r>
      <w:r>
        <w:t>kr. Dette</w:t>
      </w:r>
      <w:r w:rsidR="00515FEB">
        <w:t xml:space="preserve"> taler for at LH hadde som forsett å fullbyrde den straffbare handlingen, og skaffe seg en uberettiget vinning. </w:t>
      </w:r>
      <w:r w:rsidR="00975458">
        <w:t xml:space="preserve">Salget ble ikke gjennomført fordi PÅ ikke hadde pengene der og da. </w:t>
      </w:r>
      <w:r w:rsidR="00367A9B">
        <w:t xml:space="preserve">Den psykologiske forskjellen fra å ta ut smykket å tilby det, og til å faktisk selge det hvis PÅ hadde hatt pengene, var etter mitt syn liten.  </w:t>
      </w:r>
    </w:p>
    <w:p w14:paraId="7A2F02C2" w14:textId="77777777" w:rsidR="00975458" w:rsidRDefault="00975458" w:rsidP="00BE01C6">
      <w:pPr>
        <w:spacing w:line="276" w:lineRule="auto"/>
      </w:pPr>
    </w:p>
    <w:p w14:paraId="7889D897" w14:textId="77777777" w:rsidR="00975458" w:rsidRDefault="00975458" w:rsidP="00BE01C6">
      <w:pPr>
        <w:spacing w:line="276" w:lineRule="auto"/>
      </w:pPr>
    </w:p>
    <w:p w14:paraId="5B470C78" w14:textId="579048BE" w:rsidR="00975458" w:rsidRPr="00EA03AE" w:rsidRDefault="00A91173" w:rsidP="00BE01C6">
      <w:pPr>
        <w:spacing w:line="276" w:lineRule="auto"/>
        <w:rPr>
          <w:b/>
        </w:rPr>
      </w:pPr>
      <w:r w:rsidRPr="00EA03AE">
        <w:rPr>
          <w:b/>
        </w:rPr>
        <w:t>Spørsmålet er om det foreligger forhold som kan frita LH for forsøk på tyveri etter strl. § 50?</w:t>
      </w:r>
    </w:p>
    <w:p w14:paraId="37807EE1" w14:textId="77777777" w:rsidR="00A91173" w:rsidRDefault="00A91173" w:rsidP="00BE01C6">
      <w:pPr>
        <w:spacing w:line="276" w:lineRule="auto"/>
      </w:pPr>
    </w:p>
    <w:p w14:paraId="5543740B" w14:textId="3E543704" w:rsidR="00A91173" w:rsidRDefault="002161E7" w:rsidP="00BE01C6">
      <w:pPr>
        <w:spacing w:line="276" w:lineRule="auto"/>
      </w:pPr>
      <w:r>
        <w:t xml:space="preserve">Etter strl. § 50 så faller straffen bort for forsøk på forbrytelse dersom gjerningspersonen av </w:t>
      </w:r>
      <w:r w:rsidR="00D641EC">
        <w:t>”egen fri V</w:t>
      </w:r>
      <w:r>
        <w:t>ilje</w:t>
      </w:r>
      <w:r w:rsidR="00D641EC">
        <w:t>”</w:t>
      </w:r>
      <w:r>
        <w:t xml:space="preserve"> trekker seg fra forsøket. </w:t>
      </w:r>
      <w:r w:rsidR="00D641EC">
        <w:t>Det er ikke noe krav om at den skyldige angrer, men kun at vedkommende frivillig trekker seg tilbake (traffeloven med kommentarer. D. 1: Almindelige bestemmelser. 1997, § 50).</w:t>
      </w:r>
    </w:p>
    <w:p w14:paraId="555ED77D" w14:textId="77777777" w:rsidR="009D5A0B" w:rsidRDefault="009D5A0B" w:rsidP="00BE01C6">
      <w:pPr>
        <w:spacing w:line="276" w:lineRule="auto"/>
      </w:pPr>
    </w:p>
    <w:p w14:paraId="327DAE3A" w14:textId="4CC24FAC" w:rsidR="009D5A0B" w:rsidRDefault="009D5A0B" w:rsidP="00BE01C6">
      <w:pPr>
        <w:spacing w:line="276" w:lineRule="auto"/>
      </w:pPr>
      <w:r>
        <w:t xml:space="preserve">Det kan oppstå tvil om </w:t>
      </w:r>
      <w:r w:rsidR="00D41BEF">
        <w:t xml:space="preserve">det foreligger </w:t>
      </w:r>
      <w:r>
        <w:t xml:space="preserve">frivillig tilbaketrekkelse dersom gjerningspersonen møter uventete hindringer, og på bakgrunn av det gir opp å gjennomføre forbrytelsen. </w:t>
      </w:r>
    </w:p>
    <w:p w14:paraId="7F025C69" w14:textId="77777777" w:rsidR="009D480C" w:rsidRDefault="009D480C" w:rsidP="00BE01C6">
      <w:pPr>
        <w:spacing w:line="276" w:lineRule="auto"/>
      </w:pPr>
    </w:p>
    <w:p w14:paraId="382C2BA6" w14:textId="03F518CC" w:rsidR="006235E3" w:rsidRDefault="006235E3" w:rsidP="00BE01C6">
      <w:pPr>
        <w:spacing w:line="276" w:lineRule="auto"/>
      </w:pPr>
      <w:r>
        <w:t xml:space="preserve">I kjennelsen Rt. 2013 s. 776 forsøkte en maskert 17 år gammel gutt å voldta en 71 år gammel kvinne i hennes hjem. Voldtekten ble ikke fullbyrdet, men gutten ble </w:t>
      </w:r>
      <w:r w:rsidR="00E746E0">
        <w:t>dømt</w:t>
      </w:r>
      <w:r>
        <w:t xml:space="preserve"> for forsøk på voldtekt. Kvinnen ble skadet under forsøket</w:t>
      </w:r>
      <w:r w:rsidR="00E746E0">
        <w:t xml:space="preserve">, og hylte og skrek. Det ble ikke bevist at </w:t>
      </w:r>
      <w:r w:rsidR="001521EB">
        <w:t xml:space="preserve">gutten trakk seg fordi han innså at handlingen var gal, men fordi han møtte motstand (kommentar av Morten Holmboe, 5. Juni 2013, lovdata.no). </w:t>
      </w:r>
    </w:p>
    <w:p w14:paraId="557746BC" w14:textId="77777777" w:rsidR="00D41BEF" w:rsidRDefault="00D41BEF" w:rsidP="00BE01C6">
      <w:pPr>
        <w:spacing w:line="276" w:lineRule="auto"/>
      </w:pPr>
    </w:p>
    <w:p w14:paraId="74C0C268" w14:textId="77777777" w:rsidR="00D41BEF" w:rsidRDefault="00D41BEF" w:rsidP="00D41BEF">
      <w:pPr>
        <w:spacing w:line="276" w:lineRule="auto"/>
      </w:pPr>
      <w:r>
        <w:t xml:space="preserve">I Rt. 2005 s. 1625 i avsnitt 10 viste retten til at det var lite igjen før tyveriene av mobilene kunne fullbyrdes, men at det ble forhindret av at dørene var låst. </w:t>
      </w:r>
    </w:p>
    <w:p w14:paraId="6A6B0AED" w14:textId="50838696" w:rsidR="006235E3" w:rsidRDefault="00D41BEF" w:rsidP="00BE01C6">
      <w:pPr>
        <w:spacing w:line="276" w:lineRule="auto"/>
      </w:pPr>
      <w:r>
        <w:t xml:space="preserve">Det er ingenting i faktum som tilsier at LH og PÅ hadde planer om å ta noe annet enn klokka. I vår sak fremstår det som usannsynlig at PÅ skulle gå rundt med 12 000 kr i kontanter, og det kan synes som at det gjensto en del før tyveriet av diamantsmykket kunne gjennomføres. På den annen side er det ingenting </w:t>
      </w:r>
      <w:r w:rsidR="008205A5">
        <w:t xml:space="preserve">som tilsier at det foreligger frivillig tilbaketredelse for LHs del.  Salget ble ikke gjennomført som følge av at PÅ ikke kunne betale der og da, og LH kan dermed ikke sies å ha trukket seg av ”egen fri </w:t>
      </w:r>
      <w:r>
        <w:t>Vilje</w:t>
      </w:r>
      <w:r w:rsidR="008205A5">
        <w:t>”, jf. § 50.</w:t>
      </w:r>
    </w:p>
    <w:p w14:paraId="17C7ADBA" w14:textId="77777777" w:rsidR="00A91173" w:rsidRDefault="00A91173" w:rsidP="00BE01C6">
      <w:pPr>
        <w:spacing w:line="276" w:lineRule="auto"/>
      </w:pPr>
    </w:p>
    <w:p w14:paraId="33D72AA5" w14:textId="05A9B44E" w:rsidR="00D41BEF" w:rsidRDefault="009D480C" w:rsidP="00BE01C6">
      <w:pPr>
        <w:spacing w:line="276" w:lineRule="auto"/>
      </w:pPr>
      <w:r>
        <w:t xml:space="preserve">LH kan dermed straffes </w:t>
      </w:r>
      <w:r w:rsidR="00177BD0">
        <w:t xml:space="preserve">for overtredelse av strl. § 392, jf. § 49. </w:t>
      </w:r>
      <w:r>
        <w:t xml:space="preserve"> </w:t>
      </w:r>
    </w:p>
    <w:p w14:paraId="355376E4" w14:textId="77777777" w:rsidR="00C75158" w:rsidRDefault="00C75158" w:rsidP="00BE01C6">
      <w:pPr>
        <w:spacing w:line="276" w:lineRule="auto"/>
      </w:pPr>
    </w:p>
    <w:p w14:paraId="39E14D8E" w14:textId="77777777" w:rsidR="00FE34DC" w:rsidRDefault="00FE34DC" w:rsidP="00BE01C6">
      <w:pPr>
        <w:spacing w:line="276" w:lineRule="auto"/>
      </w:pPr>
    </w:p>
    <w:p w14:paraId="43980414" w14:textId="77777777" w:rsidR="00FE34DC" w:rsidRPr="003D3F8D" w:rsidRDefault="00FE34DC" w:rsidP="00FE34DC">
      <w:pPr>
        <w:spacing w:line="276" w:lineRule="auto"/>
        <w:rPr>
          <w:b/>
        </w:rPr>
      </w:pPr>
      <w:r w:rsidRPr="003D3F8D">
        <w:rPr>
          <w:b/>
        </w:rPr>
        <w:t>Spørsmålet er om LH kan dømmes for forsøk på hvitvasking av utbytte fra tyverihandel ved at diamantsmykket ble først forsøkt solgt til PÅ.</w:t>
      </w:r>
    </w:p>
    <w:p w14:paraId="5E04CD89" w14:textId="77777777" w:rsidR="00C75158" w:rsidRDefault="00C75158" w:rsidP="00BE01C6">
      <w:pPr>
        <w:spacing w:line="276" w:lineRule="auto"/>
      </w:pPr>
    </w:p>
    <w:p w14:paraId="515792C5" w14:textId="77777777" w:rsidR="001A24FC" w:rsidRDefault="001A24FC" w:rsidP="0008460A">
      <w:pPr>
        <w:spacing w:line="276" w:lineRule="auto"/>
      </w:pPr>
      <w:r>
        <w:t xml:space="preserve">Utgangspunktet er at det mest alvorlige tilfellet konsumerer det minst alvorlige. </w:t>
      </w:r>
    </w:p>
    <w:p w14:paraId="73B2F0C8" w14:textId="784BAE0F" w:rsidR="001A24FC" w:rsidRDefault="001A24FC" w:rsidP="001A24FC">
      <w:pPr>
        <w:spacing w:line="276" w:lineRule="auto"/>
      </w:pPr>
      <w:r>
        <w:t xml:space="preserve">I Rt. 2003 s. 1376 om tilleggsavgift etter merverdiavgiftsloven viste dommen til konkurrenslæren der det ble påpekt at dersom en straffbar handling omfattes av flere straffebud, så ”anvendes bare ett straffebud dersom det fullt ut dekker samtlige sider av det straffbare forholdet” (avsnitt 28).  </w:t>
      </w:r>
    </w:p>
    <w:p w14:paraId="31CCE4D4" w14:textId="77777777" w:rsidR="001A24FC" w:rsidRDefault="001A24FC" w:rsidP="001A24FC">
      <w:pPr>
        <w:spacing w:line="276" w:lineRule="auto"/>
      </w:pPr>
    </w:p>
    <w:p w14:paraId="32CC2616" w14:textId="2E5ED1CA" w:rsidR="001A24FC" w:rsidRDefault="001A24FC" w:rsidP="001A24FC">
      <w:pPr>
        <w:spacing w:line="276" w:lineRule="auto"/>
      </w:pPr>
      <w:r>
        <w:t>Når det gjelder spørsmålet om forsøk på tyveri og forsøk på hvitvasking er ett og samme forhold, så skal det vurderes etter en helhetsvurdering, jf. Rt. 1994 s. 203 der høyesterett uttalte at ”</w:t>
      </w:r>
      <w:r>
        <w:rPr>
          <w:rFonts w:eastAsia="Times New Roman" w:cs="Times New Roman"/>
        </w:rPr>
        <w:t>spørsmålet om en står overfor ett fortsatt straffbart forhold eller enkeltstående lovovertredelser, beror på en helhetsvurdering, der sammenheng i tid, tilknytning til samme sted og et eventuelt felles forsett er momenter av betydning.”</w:t>
      </w:r>
    </w:p>
    <w:p w14:paraId="2C7AC6DE" w14:textId="77777777" w:rsidR="001A24FC" w:rsidRDefault="001A24FC" w:rsidP="001A24FC">
      <w:pPr>
        <w:spacing w:line="276" w:lineRule="auto"/>
      </w:pPr>
    </w:p>
    <w:p w14:paraId="423939D2" w14:textId="7C43FE03" w:rsidR="0008460A" w:rsidRDefault="001A24FC" w:rsidP="0008460A">
      <w:pPr>
        <w:spacing w:line="276" w:lineRule="auto"/>
      </w:pPr>
      <w:r>
        <w:t>I vår sak kan det synes som at forsøk på hvitvasking og forsøk på tyveri er samme handling. Hendelsene skjer omtrent på samme tid, og foregår på samme sted.</w:t>
      </w:r>
    </w:p>
    <w:p w14:paraId="5774BBC4" w14:textId="77777777" w:rsidR="001A24FC" w:rsidRDefault="001A24FC" w:rsidP="00BE01C6">
      <w:pPr>
        <w:spacing w:line="276" w:lineRule="auto"/>
      </w:pPr>
    </w:p>
    <w:p w14:paraId="34541FA7" w14:textId="51727F2B" w:rsidR="001A24FC" w:rsidRDefault="001A24FC" w:rsidP="00BE01C6">
      <w:pPr>
        <w:spacing w:line="276" w:lineRule="auto"/>
      </w:pPr>
      <w:r>
        <w:t>Etter mitt skjønn så kan dermed ikke LH dømmes for hvitvasking ettersom jeg ser handlingen som et ”forsøk på forsøk”.</w:t>
      </w:r>
    </w:p>
    <w:p w14:paraId="4111A2A6" w14:textId="38AE0C37" w:rsidR="00CC62C6" w:rsidRDefault="001A24FC" w:rsidP="00BE01C6">
      <w:pPr>
        <w:spacing w:line="276" w:lineRule="auto"/>
      </w:pPr>
      <w:r>
        <w:t>I</w:t>
      </w:r>
      <w:r w:rsidR="00CC62C6">
        <w:t xml:space="preserve"> NOU 1992: 23 s. 82 </w:t>
      </w:r>
      <w:r>
        <w:t>fremkommer det at</w:t>
      </w:r>
      <w:r w:rsidR="00CC62C6">
        <w:t xml:space="preserve"> det ikke </w:t>
      </w:r>
      <w:r>
        <w:t xml:space="preserve">kan </w:t>
      </w:r>
      <w:r w:rsidR="00CC62C6">
        <w:t xml:space="preserve">straffes for ”forsøk på forsøk”. </w:t>
      </w:r>
    </w:p>
    <w:p w14:paraId="08175FBE" w14:textId="77777777" w:rsidR="001A24FC" w:rsidRDefault="001A24FC" w:rsidP="00BE01C6">
      <w:pPr>
        <w:spacing w:line="276" w:lineRule="auto"/>
      </w:pPr>
    </w:p>
    <w:p w14:paraId="03C0B3A0" w14:textId="3520861F" w:rsidR="001A24FC" w:rsidRDefault="001A24FC" w:rsidP="00BE01C6">
      <w:pPr>
        <w:spacing w:line="276" w:lineRule="auto"/>
      </w:pPr>
      <w:r>
        <w:t xml:space="preserve">Etter dette er jeg kommet til at LH ikke kan dømmes for forsøk på hvitvasking. </w:t>
      </w:r>
    </w:p>
    <w:p w14:paraId="17027F14" w14:textId="77777777" w:rsidR="0082191E" w:rsidRDefault="0082191E" w:rsidP="00BE01C6">
      <w:pPr>
        <w:spacing w:line="276" w:lineRule="auto"/>
      </w:pPr>
    </w:p>
    <w:p w14:paraId="6531D0D7" w14:textId="77777777" w:rsidR="0051619F" w:rsidRDefault="0051619F" w:rsidP="00BE01C6">
      <w:pPr>
        <w:spacing w:line="276" w:lineRule="auto"/>
      </w:pPr>
    </w:p>
    <w:p w14:paraId="32263918" w14:textId="77777777" w:rsidR="009A2B08" w:rsidRDefault="009A2B08" w:rsidP="00BE01C6">
      <w:pPr>
        <w:spacing w:line="276" w:lineRule="auto"/>
      </w:pPr>
    </w:p>
    <w:p w14:paraId="5F0060A5" w14:textId="77777777" w:rsidR="0078123F" w:rsidRDefault="0078123F" w:rsidP="00BE01C6">
      <w:pPr>
        <w:spacing w:line="276" w:lineRule="auto"/>
      </w:pPr>
    </w:p>
    <w:p w14:paraId="2C8886BD" w14:textId="77777777" w:rsidR="0078123F" w:rsidRDefault="0078123F" w:rsidP="00BE01C6">
      <w:pPr>
        <w:spacing w:line="276" w:lineRule="auto"/>
      </w:pPr>
    </w:p>
    <w:p w14:paraId="0CA5D09D" w14:textId="77777777" w:rsidR="0078123F" w:rsidRDefault="0078123F" w:rsidP="00BE01C6">
      <w:pPr>
        <w:spacing w:line="276" w:lineRule="auto"/>
      </w:pPr>
    </w:p>
    <w:p w14:paraId="5040C33E" w14:textId="77777777" w:rsidR="0078123F" w:rsidRDefault="0078123F" w:rsidP="00BE01C6">
      <w:pPr>
        <w:spacing w:line="276" w:lineRule="auto"/>
      </w:pPr>
    </w:p>
    <w:p w14:paraId="5F8F01CE" w14:textId="77777777" w:rsidR="0078123F" w:rsidRDefault="0078123F" w:rsidP="00BE01C6">
      <w:pPr>
        <w:spacing w:line="276" w:lineRule="auto"/>
      </w:pPr>
    </w:p>
    <w:p w14:paraId="7F69132C" w14:textId="77777777" w:rsidR="009A2B08" w:rsidRDefault="009A2B08" w:rsidP="00BE01C6">
      <w:pPr>
        <w:spacing w:line="276" w:lineRule="auto"/>
      </w:pPr>
    </w:p>
    <w:p w14:paraId="361FE791" w14:textId="77777777" w:rsidR="0008460A" w:rsidRDefault="0008460A" w:rsidP="00BE01C6">
      <w:pPr>
        <w:spacing w:line="276" w:lineRule="auto"/>
      </w:pPr>
    </w:p>
    <w:p w14:paraId="75FCF5E8" w14:textId="77777777" w:rsidR="0078123F" w:rsidRPr="009E2732" w:rsidRDefault="0078123F" w:rsidP="0078123F">
      <w:pPr>
        <w:rPr>
          <w:b/>
          <w:sz w:val="48"/>
        </w:rPr>
      </w:pPr>
      <w:r w:rsidRPr="009E2732">
        <w:rPr>
          <w:b/>
          <w:sz w:val="48"/>
        </w:rPr>
        <w:t>DEL 2:</w:t>
      </w:r>
    </w:p>
    <w:p w14:paraId="0472BBD2" w14:textId="77777777" w:rsidR="0078123F" w:rsidRDefault="0078123F" w:rsidP="0078123F">
      <w:pPr>
        <w:ind w:left="360"/>
      </w:pPr>
    </w:p>
    <w:p w14:paraId="409C288D" w14:textId="77777777" w:rsidR="0078123F" w:rsidRDefault="0078123F" w:rsidP="0078123F">
      <w:pPr>
        <w:ind w:left="360"/>
      </w:pPr>
    </w:p>
    <w:p w14:paraId="41CC8B14" w14:textId="77777777" w:rsidR="0078123F" w:rsidRDefault="0078123F" w:rsidP="0078123F">
      <w:r>
        <w:t>Saken: slektsarvingene etter den</w:t>
      </w:r>
      <w:bookmarkStart w:id="0" w:name="_GoBack"/>
      <w:bookmarkEnd w:id="0"/>
      <w:r>
        <w:t xml:space="preserve"> kjente kunstnere Sigvard Dunch krever at billedsamlingen skal tilfalle dem – og ikke til kommunen som samlingen var testamentert for - ettersom de mener kommunen har brutt testamentes vilkår.  </w:t>
      </w:r>
    </w:p>
    <w:p w14:paraId="1B00966D" w14:textId="77777777" w:rsidR="00E3394E" w:rsidRDefault="00E3394E" w:rsidP="0078123F"/>
    <w:p w14:paraId="00978488" w14:textId="77777777" w:rsidR="00E3394E" w:rsidRDefault="00E3394E" w:rsidP="0078123F"/>
    <w:p w14:paraId="4FC3F9F8" w14:textId="77777777" w:rsidR="00E3394E" w:rsidRDefault="00E3394E" w:rsidP="0078123F"/>
    <w:p w14:paraId="01036631" w14:textId="77777777" w:rsidR="0008460A" w:rsidRDefault="0008460A" w:rsidP="00BE01C6">
      <w:pPr>
        <w:spacing w:line="276" w:lineRule="auto"/>
      </w:pPr>
    </w:p>
    <w:p w14:paraId="36EAF44D" w14:textId="6BBC47C9" w:rsidR="004871FD" w:rsidRPr="00774198" w:rsidRDefault="00B62BCC" w:rsidP="004871FD">
      <w:pPr>
        <w:rPr>
          <w:b/>
        </w:rPr>
      </w:pPr>
      <w:r>
        <w:rPr>
          <w:b/>
        </w:rPr>
        <w:t xml:space="preserve">I) </w:t>
      </w:r>
      <w:r w:rsidR="004871FD" w:rsidRPr="00774198">
        <w:rPr>
          <w:b/>
        </w:rPr>
        <w:t>Spørsmålet er om kart som arvingenes prosessfullmektig har fremlagt kan brukes i deres redegjørelse</w:t>
      </w:r>
      <w:r w:rsidR="00774198" w:rsidRPr="00774198">
        <w:rPr>
          <w:b/>
        </w:rPr>
        <w:t>?</w:t>
      </w:r>
    </w:p>
    <w:p w14:paraId="70225AF6" w14:textId="77777777" w:rsidR="00774198" w:rsidRDefault="00774198" w:rsidP="004871FD"/>
    <w:p w14:paraId="71088753" w14:textId="77777777" w:rsidR="00774198" w:rsidRDefault="00774198" w:rsidP="004871FD"/>
    <w:p w14:paraId="06C70B3C" w14:textId="3F1BD4D7" w:rsidR="00306A7A" w:rsidRDefault="00306A7A" w:rsidP="004871FD">
      <w:r>
        <w:t xml:space="preserve">Etter tvl. § 1-1 (2) første strekpunkt så skal partene ”få argumentere for sin sak og føre bevis”. </w:t>
      </w:r>
      <w:r w:rsidR="00311D84">
        <w:t>Dette betyr at ingen avgjørelse</w:t>
      </w:r>
      <w:r w:rsidR="00F24B05">
        <w:t>r</w:t>
      </w:r>
      <w:r w:rsidR="00311D84">
        <w:t xml:space="preserve"> kan treffes mot en part som ikke har fått muligheten til å argumentere og føre bevis (Norsk Lovkommentar, note 12, 26.11.2013). Men denne retten er ikke ubegrenset, jf. tvl. Kap. 21 og 22. </w:t>
      </w:r>
    </w:p>
    <w:p w14:paraId="1D06A70F" w14:textId="77777777" w:rsidR="00306A7A" w:rsidRDefault="00306A7A" w:rsidP="004871FD"/>
    <w:p w14:paraId="08372B03" w14:textId="184C016D" w:rsidR="00DD6290" w:rsidRDefault="00390F90" w:rsidP="004871FD">
      <w:r>
        <w:t>B</w:t>
      </w:r>
      <w:r w:rsidR="00D20CFC">
        <w:t xml:space="preserve">evisførselen </w:t>
      </w:r>
      <w:r>
        <w:t xml:space="preserve">skal </w:t>
      </w:r>
      <w:r w:rsidR="00D20CFC">
        <w:t>være avsluttet når hovedforhandlingen har kommet så langt at arvingenes prosessfullmektig får ordet til pr</w:t>
      </w:r>
      <w:r w:rsidR="00306A7A">
        <w:t xml:space="preserve">osedyre, jf. tvl. § 9-15 6. </w:t>
      </w:r>
      <w:r w:rsidR="009C210D">
        <w:t>o</w:t>
      </w:r>
      <w:r w:rsidR="00306A7A">
        <w:t>g 7.</w:t>
      </w:r>
      <w:r w:rsidR="0026662B">
        <w:t xml:space="preserve"> </w:t>
      </w:r>
    </w:p>
    <w:p w14:paraId="23F3B07D" w14:textId="77777777" w:rsidR="00DD6290" w:rsidRDefault="00DD6290" w:rsidP="004871FD"/>
    <w:p w14:paraId="615E9C43" w14:textId="4779BA7A" w:rsidR="00D20CFC" w:rsidRDefault="009C210D" w:rsidP="004871FD">
      <w:r>
        <w:t>Etter § 11-1 (3) så kan heller ikke retten bygge avgjørelsen på et faktisk grunnlag som ”partene ikke har hatt foranledning til å uttale seg om”. Dette på grunn av det grunnleggende kontradiktoriske prinsippet om at avgjørelsen kun skal bygge på det partene har hatt muligheten til å</w:t>
      </w:r>
      <w:r w:rsidR="0038418B">
        <w:t xml:space="preserve"> uttale seg om, jf, EMK art. 6 om rettferdig rettergang. </w:t>
      </w:r>
      <w:r w:rsidR="00DA7BFA">
        <w:t xml:space="preserve">Det er helt sentralt at partene skal kunne uttale seg om faktum som retten legger avgjørende vekt på (Norsk Lovkommentar, note 572, 04.05.2014). </w:t>
      </w:r>
    </w:p>
    <w:p w14:paraId="285F6E78" w14:textId="77777777" w:rsidR="00A368DA" w:rsidRDefault="00A368DA" w:rsidP="004871FD"/>
    <w:p w14:paraId="701DBB78" w14:textId="51862D80" w:rsidR="00A368DA" w:rsidRDefault="00A368DA" w:rsidP="004871FD">
      <w:r>
        <w:t xml:space="preserve">I Rt. 2010 s. 1025 ble en høyesterettsdom (dissens 3-2) opphevet fordi kravet til kontradiksjon ikke ble oppfylt. </w:t>
      </w:r>
      <w:r w:rsidR="00F24B05">
        <w:t xml:space="preserve">I saken ble det oppdaget fuktskader og muggsopputvikling, og høyesteretts flertall mente at kjøperen ikke hadde fått legge frem sitt syn på momenter som lagmannsretten hadde vektlagt. </w:t>
      </w:r>
    </w:p>
    <w:p w14:paraId="7D3B707A" w14:textId="77777777" w:rsidR="00774198" w:rsidRDefault="00774198" w:rsidP="004871FD"/>
    <w:p w14:paraId="36DF6E77" w14:textId="755026F4" w:rsidR="00DD6290" w:rsidRDefault="00DD6290" w:rsidP="00DD6290">
      <w:r>
        <w:t xml:space="preserve">Utgangspunktet er at hovedforhandlingen skal være muntlig, jf. </w:t>
      </w:r>
      <w:r w:rsidR="000519CA">
        <w:t>§ 9-14 (1</w:t>
      </w:r>
      <w:r>
        <w:t>)</w:t>
      </w:r>
      <w:r w:rsidR="00C244FE">
        <w:t>,</w:t>
      </w:r>
      <w:r>
        <w:t xml:space="preserve"> og prinsippet om bevisumiddelbarhet i § 21-9 (Ot.prp.nr.51 (2004-2005) s. 397). </w:t>
      </w:r>
      <w:r w:rsidR="000519CA">
        <w:t>Hjelpedokumenter legges frem ”for å lette forståelsen av redegjørelser og forklaringer som blir gitt, og som ikke skal utgjøre bevis uavhengig av den muntlige framstilling som de blir knyttet til”</w:t>
      </w:r>
      <w:r w:rsidR="00C244FE">
        <w:t xml:space="preserve"> (Ot.prp.nr.51 (2004-2005) s. 403).</w:t>
      </w:r>
    </w:p>
    <w:p w14:paraId="57D25907" w14:textId="22F59663" w:rsidR="00390F90" w:rsidRDefault="00390F90" w:rsidP="00390F90">
      <w:r>
        <w:t>Å bruke kart som bevis for testators vilje faller utenfor rammen for hjelpedokumenter etter tvl. § 9-14</w:t>
      </w:r>
      <w:r w:rsidR="005B14A8">
        <w:t xml:space="preserve"> </w:t>
      </w:r>
      <w:r>
        <w:t xml:space="preserve">(2) 2. pkt.  </w:t>
      </w:r>
    </w:p>
    <w:p w14:paraId="6C56ECFB" w14:textId="77777777" w:rsidR="00774198" w:rsidRDefault="00774198" w:rsidP="004871FD"/>
    <w:p w14:paraId="5DCE5257" w14:textId="77777777" w:rsidR="00774198" w:rsidRDefault="00774198" w:rsidP="004871FD"/>
    <w:p w14:paraId="7A742855" w14:textId="77777777" w:rsidR="0008460A" w:rsidRDefault="0008460A" w:rsidP="00BE01C6">
      <w:pPr>
        <w:spacing w:line="276" w:lineRule="auto"/>
      </w:pPr>
    </w:p>
    <w:p w14:paraId="4F39C8DE" w14:textId="4565F04D" w:rsidR="00774198" w:rsidRPr="005B14A8" w:rsidRDefault="005B14A8" w:rsidP="00BE01C6">
      <w:pPr>
        <w:spacing w:line="276" w:lineRule="auto"/>
        <w:rPr>
          <w:b/>
        </w:rPr>
      </w:pPr>
      <w:r w:rsidRPr="005B14A8">
        <w:rPr>
          <w:b/>
        </w:rPr>
        <w:t xml:space="preserve">2) Advokaten til arvingene har tatt opp spørsmålet om hvordan dommeren vurderte sin habilitet. Spørsmålet er om dommeren er habil. </w:t>
      </w:r>
    </w:p>
    <w:p w14:paraId="03EFAA96" w14:textId="77777777" w:rsidR="005B14A8" w:rsidRDefault="005B14A8" w:rsidP="00BE01C6">
      <w:pPr>
        <w:spacing w:line="276" w:lineRule="auto"/>
      </w:pPr>
    </w:p>
    <w:p w14:paraId="75DF591C" w14:textId="01172094" w:rsidR="00774198" w:rsidRDefault="009E4FFE" w:rsidP="00BE01C6">
      <w:pPr>
        <w:spacing w:line="276" w:lineRule="auto"/>
      </w:pPr>
      <w:r>
        <w:t>Etter dl. § 55 (3) er en dommer ”uavhengig i sin dømmende virksomhet”</w:t>
      </w:r>
      <w:r w:rsidR="001210E5">
        <w:t xml:space="preserve">, og skal utføre sin dommergjerning upartisk, og på en måte som skaper tillit og respekt. </w:t>
      </w:r>
      <w:r w:rsidR="00CA4A15">
        <w:t>Grunnlovens § 95 (2) lovfester også dette prinsippet om dommerens upartiskhet</w:t>
      </w:r>
      <w:r w:rsidR="00BF5B70">
        <w:t xml:space="preserve"> og uavhengighet. </w:t>
      </w:r>
      <w:r w:rsidR="00A75F9F">
        <w:t xml:space="preserve">Det samme gjør også EMK art. 6 nr. 1 om rettferdig rettergang og FN-konvensjonen om sivile og politiske rettigheter 16. Desember 1966 art. 14. </w:t>
      </w:r>
      <w:r w:rsidR="00D8461E">
        <w:t xml:space="preserve">Dommeren kan instrueres om administrative og tjenstlige forhold, men ikke </w:t>
      </w:r>
      <w:r w:rsidR="00E762D9">
        <w:t>om</w:t>
      </w:r>
      <w:r w:rsidR="00D8461E">
        <w:t xml:space="preserve"> hvordan hin skal b</w:t>
      </w:r>
      <w:r w:rsidR="00AA419F">
        <w:t xml:space="preserve">ehandle og avgjøre enkeltsaker (Norsk Lovkommentar, note 171, 27.10.2014). </w:t>
      </w:r>
    </w:p>
    <w:p w14:paraId="6F4981EA" w14:textId="77777777" w:rsidR="00A75F9F" w:rsidRDefault="00A75F9F" w:rsidP="00BE01C6">
      <w:pPr>
        <w:spacing w:line="276" w:lineRule="auto"/>
      </w:pPr>
    </w:p>
    <w:p w14:paraId="192F7098" w14:textId="69D775EB" w:rsidR="00F76F5D" w:rsidRDefault="00636E8B" w:rsidP="00BE01C6">
      <w:pPr>
        <w:spacing w:line="276" w:lineRule="auto"/>
      </w:pPr>
      <w:r>
        <w:t xml:space="preserve">I vår sak er det ingen som har krevd at dommeren </w:t>
      </w:r>
      <w:r w:rsidR="00C41529">
        <w:t xml:space="preserve">skal vike sete etter dl. § 108, noe som også tillegges vekt. </w:t>
      </w:r>
    </w:p>
    <w:p w14:paraId="639F0521" w14:textId="77777777" w:rsidR="00355F75" w:rsidRDefault="00355F75" w:rsidP="00BE01C6">
      <w:pPr>
        <w:spacing w:line="276" w:lineRule="auto"/>
      </w:pPr>
    </w:p>
    <w:p w14:paraId="6694B7F3" w14:textId="6EDECA47" w:rsidR="00355F75" w:rsidRDefault="00355F75" w:rsidP="00BE01C6">
      <w:pPr>
        <w:spacing w:line="276" w:lineRule="auto"/>
      </w:pPr>
      <w:r>
        <w:t xml:space="preserve">I </w:t>
      </w:r>
      <w:r w:rsidR="00543191">
        <w:t xml:space="preserve">høyesterettsdommen (dissens 3-2) </w:t>
      </w:r>
      <w:r>
        <w:t xml:space="preserve">Rt. 2008 s. 1466 </w:t>
      </w:r>
      <w:r w:rsidR="00E25BE6">
        <w:t xml:space="preserve">avsnitt 18 og 19 </w:t>
      </w:r>
      <w:r w:rsidR="00543191">
        <w:t>ble det vist til at kravet til domme</w:t>
      </w:r>
      <w:r w:rsidR="00E25BE6">
        <w:t xml:space="preserve">rhabilitet hadde blitt skjerpet, </w:t>
      </w:r>
      <w:r w:rsidR="003067DF">
        <w:t xml:space="preserve">jf. EMK art. 6 nr. 1, </w:t>
      </w:r>
      <w:r w:rsidR="00E25BE6">
        <w:t xml:space="preserve">og </w:t>
      </w:r>
      <w:r w:rsidR="003067DF">
        <w:t xml:space="preserve">at det ble lagt større vekt på hvordan forholdet fremstår utad. </w:t>
      </w:r>
    </w:p>
    <w:p w14:paraId="2A360DA0" w14:textId="77777777" w:rsidR="00D553AA" w:rsidRDefault="00D553AA" w:rsidP="00BE01C6">
      <w:pPr>
        <w:spacing w:line="276" w:lineRule="auto"/>
      </w:pPr>
    </w:p>
    <w:p w14:paraId="0D7C0E49" w14:textId="77777777" w:rsidR="006D10F7" w:rsidRDefault="006D10F7" w:rsidP="006D10F7">
      <w:pPr>
        <w:spacing w:line="276" w:lineRule="auto"/>
      </w:pPr>
      <w:r>
        <w:t xml:space="preserve">Etter dl. § 106 (2) er en inhabil i forhold til slektninger i fire ledds avstand eller mindre i en av sidelinjene, jf. Norsk lovkommentar note 318, 20.01.2014. </w:t>
      </w:r>
    </w:p>
    <w:p w14:paraId="09D3B488" w14:textId="77777777" w:rsidR="00C41529" w:rsidRDefault="00C41529" w:rsidP="00BE01C6">
      <w:pPr>
        <w:spacing w:line="276" w:lineRule="auto"/>
      </w:pPr>
    </w:p>
    <w:p w14:paraId="5D1D2175" w14:textId="77777777" w:rsidR="006D10F7" w:rsidRDefault="006D10F7" w:rsidP="006D10F7">
      <w:pPr>
        <w:spacing w:line="276" w:lineRule="auto"/>
      </w:pPr>
      <w:r>
        <w:t xml:space="preserve">Svogerskap er når dommeren er gift med en person som er i slekt med parten. Det er også svogerskap hvis dommeren er i slekt med partens ektefelle, og grensen er her også fire ledds avstand (Domstolloven, kommentarutgave, 2000). </w:t>
      </w:r>
    </w:p>
    <w:p w14:paraId="19C1780F" w14:textId="77777777" w:rsidR="00C41529" w:rsidRDefault="00C41529" w:rsidP="00BE01C6">
      <w:pPr>
        <w:spacing w:line="276" w:lineRule="auto"/>
      </w:pPr>
    </w:p>
    <w:p w14:paraId="5210FE65" w14:textId="4B5AA8F6" w:rsidR="007A5402" w:rsidRDefault="007A5402" w:rsidP="00BE01C6">
      <w:pPr>
        <w:spacing w:line="276" w:lineRule="auto"/>
      </w:pPr>
      <w:r>
        <w:t xml:space="preserve">Etter dl. § 106 (7) så er dommeren inhabil når vedkommende er i slekt eller svogerskap i opp- eller nedstigende linje, eller så nær søsken eller gift/forlovet med noen som ”handler i saken”. </w:t>
      </w:r>
    </w:p>
    <w:p w14:paraId="719CA03E" w14:textId="77777777" w:rsidR="0083463E" w:rsidRDefault="0083463E" w:rsidP="00BE01C6">
      <w:pPr>
        <w:spacing w:line="276" w:lineRule="auto"/>
      </w:pPr>
    </w:p>
    <w:p w14:paraId="20BC5AC5" w14:textId="50237519" w:rsidR="0083463E" w:rsidRDefault="0083463E" w:rsidP="00BE01C6">
      <w:pPr>
        <w:spacing w:line="276" w:lineRule="auto"/>
      </w:pPr>
      <w:r>
        <w:t xml:space="preserve">I vår sak har dommeren tidligere vært gift med kommuneadvokatens kusine. </w:t>
      </w:r>
    </w:p>
    <w:p w14:paraId="70FC4FDD" w14:textId="03A615A3" w:rsidR="007A5402" w:rsidRDefault="004F4EB8" w:rsidP="00BE01C6">
      <w:pPr>
        <w:spacing w:line="276" w:lineRule="auto"/>
      </w:pPr>
      <w:r>
        <w:t xml:space="preserve">Det er på det rene at dommeren </w:t>
      </w:r>
      <w:r w:rsidR="00680BC1">
        <w:t xml:space="preserve">og kommuneadvokaten </w:t>
      </w:r>
      <w:r>
        <w:t xml:space="preserve">”handler i saken”. </w:t>
      </w:r>
    </w:p>
    <w:p w14:paraId="41417705" w14:textId="27111CDC" w:rsidR="004F4EB8" w:rsidRDefault="004F4EB8" w:rsidP="00BE01C6">
      <w:pPr>
        <w:spacing w:line="276" w:lineRule="auto"/>
      </w:pPr>
      <w:r>
        <w:t xml:space="preserve">Etter dl. § 106 (7) så er kretsen av inhabile snevret inn sammenlignet med § 106 (2). I 106 (7) så foreligger det inhabilitet i opp- og nedstigende linje uansett avstand, mens sidelinjens rekkevidde er begrenset til </w:t>
      </w:r>
      <w:r w:rsidR="00680BC1">
        <w:t>søsken. Det foreligger derfor ikke inhabilitet etter § 106 (7) dersom avstanden er større enn to ledd. Om en prosessfullmektiges niese eller fetter kan være meddommer avgjøres etter § 108</w:t>
      </w:r>
      <w:r w:rsidR="00E56F5A">
        <w:t>.</w:t>
      </w:r>
    </w:p>
    <w:p w14:paraId="1A90D610" w14:textId="77777777" w:rsidR="007A5402" w:rsidRDefault="007A5402" w:rsidP="00BE01C6">
      <w:pPr>
        <w:spacing w:line="276" w:lineRule="auto"/>
      </w:pPr>
    </w:p>
    <w:p w14:paraId="4199615E" w14:textId="0FFB6D0B" w:rsidR="006D10F7" w:rsidRDefault="00C84F73" w:rsidP="00BE01C6">
      <w:pPr>
        <w:spacing w:line="276" w:lineRule="auto"/>
      </w:pPr>
      <w:r>
        <w:t>At dommeren tidligere var gift med kommuneadvokatens kusine er fjernere slektskap enn det som er nevnt i § 106 (7), og dette sle</w:t>
      </w:r>
      <w:r w:rsidR="00461A49">
        <w:t xml:space="preserve">ktskapet faller dermed utenfor. </w:t>
      </w:r>
    </w:p>
    <w:p w14:paraId="18DCCF82" w14:textId="77777777" w:rsidR="00940472" w:rsidRDefault="00940472" w:rsidP="00BE01C6">
      <w:pPr>
        <w:spacing w:line="276" w:lineRule="auto"/>
      </w:pPr>
    </w:p>
    <w:p w14:paraId="6A116C7D" w14:textId="397BF571" w:rsidR="00940472" w:rsidRDefault="00940472" w:rsidP="00BE01C6">
      <w:pPr>
        <w:spacing w:line="276" w:lineRule="auto"/>
      </w:pPr>
      <w:r>
        <w:t xml:space="preserve">Dette slektsskapsforholdet gjør dermed ikke dommeren inhabil. </w:t>
      </w:r>
    </w:p>
    <w:p w14:paraId="62D5F0AC" w14:textId="77777777" w:rsidR="00636E8B" w:rsidRDefault="00636E8B" w:rsidP="00BE01C6">
      <w:pPr>
        <w:spacing w:line="276" w:lineRule="auto"/>
      </w:pPr>
    </w:p>
    <w:p w14:paraId="447EED06" w14:textId="77777777" w:rsidR="00636E8B" w:rsidRDefault="00636E8B" w:rsidP="00BE01C6">
      <w:pPr>
        <w:spacing w:line="276" w:lineRule="auto"/>
      </w:pPr>
    </w:p>
    <w:p w14:paraId="5457CBC1" w14:textId="17D93AC1" w:rsidR="00636E8B" w:rsidRPr="00380111" w:rsidRDefault="00636E8B" w:rsidP="00BE01C6">
      <w:pPr>
        <w:spacing w:line="276" w:lineRule="auto"/>
        <w:rPr>
          <w:b/>
        </w:rPr>
      </w:pPr>
      <w:r w:rsidRPr="00380111">
        <w:rPr>
          <w:b/>
        </w:rPr>
        <w:t>Spørsmålet er om det foreligger andre ”særegne omstendigheter” som er egnet til å svekke t</w:t>
      </w:r>
      <w:r w:rsidR="00E93885">
        <w:rPr>
          <w:b/>
        </w:rPr>
        <w:t xml:space="preserve">illiten til dommerens uhildhet, jf. dl. § 108. </w:t>
      </w:r>
    </w:p>
    <w:p w14:paraId="27774AE3" w14:textId="77777777" w:rsidR="00E25BE6" w:rsidRDefault="00E25BE6" w:rsidP="00BE01C6">
      <w:pPr>
        <w:spacing w:line="276" w:lineRule="auto"/>
      </w:pPr>
    </w:p>
    <w:p w14:paraId="73B63729" w14:textId="77777777" w:rsidR="00AE039C" w:rsidRDefault="00AE039C" w:rsidP="00AE039C">
      <w:pPr>
        <w:spacing w:line="276" w:lineRule="auto"/>
      </w:pPr>
      <w:r>
        <w:t xml:space="preserve">Habilitetsavgjørelsen avgjøres etter en helhetlig vurdering, jf. Rt. 1988 s. 99 der dette ble uttrykt på slutten i kjennelsen.  </w:t>
      </w:r>
    </w:p>
    <w:p w14:paraId="66DF2D4F" w14:textId="77777777" w:rsidR="00AE039C" w:rsidRDefault="00AE039C" w:rsidP="00AE039C">
      <w:pPr>
        <w:spacing w:line="276" w:lineRule="auto"/>
      </w:pPr>
    </w:p>
    <w:p w14:paraId="27439606" w14:textId="77777777" w:rsidR="00AE039C" w:rsidRDefault="00AE039C" w:rsidP="00AE039C">
      <w:pPr>
        <w:spacing w:line="276" w:lineRule="auto"/>
      </w:pPr>
      <w:r>
        <w:t xml:space="preserve">Ved habilitetsvurderingen skal det spesielt legges vekt på hvordan forholdene fremstår utad, jf. kjennelsen (enstemmig) fra høyesteretts kjæremålsutvalg Rt. 2002 s. 1548 s. 1551. </w:t>
      </w:r>
    </w:p>
    <w:p w14:paraId="306F24E5" w14:textId="77777777" w:rsidR="00AE039C" w:rsidRDefault="00AE039C" w:rsidP="00AE039C">
      <w:pPr>
        <w:spacing w:line="276" w:lineRule="auto"/>
      </w:pPr>
    </w:p>
    <w:p w14:paraId="73884CB3" w14:textId="364FF198" w:rsidR="007E1EE2" w:rsidRDefault="007E1EE2" w:rsidP="00BE01C6">
      <w:pPr>
        <w:spacing w:line="276" w:lineRule="auto"/>
      </w:pPr>
      <w:r>
        <w:t>Siden slektskap som inhabilitetsgrunn er uttrykkelig påpekt i § 106</w:t>
      </w:r>
      <w:r w:rsidR="00D60ACA">
        <w:t xml:space="preserve"> har det formodningen mot seg at fjernere/tidligere slektskap enn det som er nevnt etter § 108 skal lede til inhabilitet. </w:t>
      </w:r>
    </w:p>
    <w:p w14:paraId="3B4AB22F" w14:textId="77777777" w:rsidR="00AE039C" w:rsidRDefault="00AE039C" w:rsidP="00BE01C6">
      <w:pPr>
        <w:spacing w:line="276" w:lineRule="auto"/>
      </w:pPr>
    </w:p>
    <w:p w14:paraId="4EF37406" w14:textId="2D8D1A60" w:rsidR="007E1EE2" w:rsidRDefault="003D03FC" w:rsidP="00BE01C6">
      <w:pPr>
        <w:spacing w:line="276" w:lineRule="auto"/>
      </w:pPr>
      <w:r>
        <w:t xml:space="preserve">At dommeren var er en av kommuneadvokatens ca. 300 venner kan ikke tillegges særlig vekt, spesielt med tanke på at dommeren ikke har møtt ham i private sammenhenger. Det er i dag vanlig å ha Facebook-”venner” som en ikke har så mye kontakt med. </w:t>
      </w:r>
    </w:p>
    <w:p w14:paraId="58FE443F" w14:textId="77777777" w:rsidR="003D03FC" w:rsidRDefault="003D03FC" w:rsidP="00BE01C6">
      <w:pPr>
        <w:spacing w:line="276" w:lineRule="auto"/>
      </w:pPr>
    </w:p>
    <w:p w14:paraId="65089A04" w14:textId="16096C7D" w:rsidR="00E9481C" w:rsidRDefault="003D03FC" w:rsidP="00BE01C6">
      <w:pPr>
        <w:spacing w:line="276" w:lineRule="auto"/>
      </w:pPr>
      <w:r>
        <w:t xml:space="preserve">Det at dommeren tidligere var partner i advokatfirmaet ”Opphavsrett”, som året før ble kjøpt opp av Kunstadvokatene, kan heller ikke tillegges særlig vekt, ettersom det var fire år siden dommeren hadde vært partner i Opphavsrett. At dommeren har blitt invitert til sommerfestene kan ikke sies å </w:t>
      </w:r>
      <w:r w:rsidR="00AD1643">
        <w:t>svekke dommerens inhabilitet i nevneverdig grad</w:t>
      </w:r>
    </w:p>
    <w:p w14:paraId="225FA17C" w14:textId="6D6A14A3" w:rsidR="00AD1643" w:rsidRDefault="00AD1643" w:rsidP="00BE01C6">
      <w:pPr>
        <w:spacing w:line="276" w:lineRule="auto"/>
      </w:pPr>
      <w:r>
        <w:t xml:space="preserve">I Rt. 2013 s. 1589 så hadde lagdommeren tidligere vært advokat ved LOs juridiske kontor. LO var partshjelper i saken, men lagdommeren ble ikke ansett som inhabil, ettersom det hadde gått mer enn to år siden hun hadde arbeidstilknytning til LO. </w:t>
      </w:r>
    </w:p>
    <w:p w14:paraId="17C77F1F" w14:textId="77777777" w:rsidR="00281FD6" w:rsidRDefault="00281FD6" w:rsidP="00BE01C6">
      <w:pPr>
        <w:spacing w:line="276" w:lineRule="auto"/>
      </w:pPr>
    </w:p>
    <w:p w14:paraId="3D1EE2F7" w14:textId="062858E3" w:rsidR="00281FD6" w:rsidRDefault="00281FD6" w:rsidP="00BE01C6">
      <w:pPr>
        <w:spacing w:line="276" w:lineRule="auto"/>
      </w:pPr>
      <w:r>
        <w:t xml:space="preserve">Det at dommeren er kunstinteressert har ikke betydning for saken. Det å ta opp et inhabilitetsspørsmål for avklaring er noe annet enn å kreve at noen </w:t>
      </w:r>
      <w:r w:rsidR="00126840">
        <w:t xml:space="preserve">skal være inhabile, jf. § dl. § 108 2. pkt. </w:t>
      </w:r>
    </w:p>
    <w:p w14:paraId="30386EEA" w14:textId="77777777" w:rsidR="00800D5A" w:rsidRDefault="00800D5A" w:rsidP="00BE01C6">
      <w:pPr>
        <w:spacing w:line="276" w:lineRule="auto"/>
      </w:pPr>
    </w:p>
    <w:p w14:paraId="0003E379" w14:textId="30B0FBEC" w:rsidR="00800D5A" w:rsidRDefault="00800D5A" w:rsidP="00BE01C6">
      <w:pPr>
        <w:spacing w:line="276" w:lineRule="auto"/>
      </w:pPr>
      <w:r>
        <w:t xml:space="preserve">Etter en samlet vurdering kan jeg dermed ikke se at det foreligger ”særegne omstendigheter” i saken som tilsier at dommeren er inhabil. </w:t>
      </w:r>
    </w:p>
    <w:p w14:paraId="10BD4DB3" w14:textId="77777777" w:rsidR="00800D5A" w:rsidRDefault="00800D5A" w:rsidP="00BE01C6">
      <w:pPr>
        <w:spacing w:line="276" w:lineRule="auto"/>
      </w:pPr>
    </w:p>
    <w:p w14:paraId="495A9203" w14:textId="32A04998" w:rsidR="00800D5A" w:rsidRDefault="00800D5A" w:rsidP="00BE01C6">
      <w:pPr>
        <w:spacing w:line="276" w:lineRule="auto"/>
      </w:pPr>
      <w:r>
        <w:t xml:space="preserve">Dommeren er derfor habil i saken. </w:t>
      </w:r>
    </w:p>
    <w:p w14:paraId="7635B9DD" w14:textId="77777777" w:rsidR="00126840" w:rsidRDefault="00126840" w:rsidP="00BE01C6">
      <w:pPr>
        <w:spacing w:line="276" w:lineRule="auto"/>
      </w:pPr>
    </w:p>
    <w:p w14:paraId="54E6AAD8" w14:textId="77777777" w:rsidR="00126840" w:rsidRDefault="00126840" w:rsidP="00BE01C6">
      <w:pPr>
        <w:spacing w:line="276" w:lineRule="auto"/>
      </w:pPr>
    </w:p>
    <w:p w14:paraId="50BD8560" w14:textId="77777777" w:rsidR="00AD1643" w:rsidRDefault="00AD1643" w:rsidP="00BE01C6">
      <w:pPr>
        <w:spacing w:line="276" w:lineRule="auto"/>
      </w:pPr>
    </w:p>
    <w:p w14:paraId="1694CFCE" w14:textId="77777777" w:rsidR="00E9481C" w:rsidRDefault="00E9481C" w:rsidP="00BE01C6">
      <w:pPr>
        <w:spacing w:line="276" w:lineRule="auto"/>
      </w:pPr>
    </w:p>
    <w:p w14:paraId="22A72886" w14:textId="77777777" w:rsidR="001210E5" w:rsidRDefault="001210E5" w:rsidP="00BE01C6">
      <w:pPr>
        <w:spacing w:line="276" w:lineRule="auto"/>
      </w:pPr>
    </w:p>
    <w:sectPr w:rsidR="001210E5" w:rsidSect="000C001B">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29CEFC" w14:textId="77777777" w:rsidR="00281FD6" w:rsidRDefault="00281FD6" w:rsidP="001509C4">
      <w:r>
        <w:separator/>
      </w:r>
    </w:p>
  </w:endnote>
  <w:endnote w:type="continuationSeparator" w:id="0">
    <w:p w14:paraId="403B13E5" w14:textId="77777777" w:rsidR="00281FD6" w:rsidRDefault="00281FD6" w:rsidP="001509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Ω›E'78ˇøÏxÂ'1">
    <w:altName w:val="Cambria"/>
    <w:panose1 w:val="00000000000000000000"/>
    <w:charset w:val="4D"/>
    <w:family w:val="auto"/>
    <w:notTrueType/>
    <w:pitch w:val="default"/>
    <w:sig w:usb0="00000003" w:usb1="00000000" w:usb2="00000000" w:usb3="00000000" w:csb0="00000001" w:csb1="00000000"/>
  </w:font>
  <w:font w:name="ß›E'78ˇøÏxÂ'1">
    <w:altName w:val="Cambria"/>
    <w:panose1 w:val="00000000000000000000"/>
    <w:charset w:val="4D"/>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9E926" w14:textId="77777777" w:rsidR="00281FD6" w:rsidRDefault="00281FD6" w:rsidP="005F2A1D">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end"/>
    </w:r>
  </w:p>
  <w:p w14:paraId="10169D36" w14:textId="77777777" w:rsidR="00281FD6" w:rsidRDefault="00281FD6" w:rsidP="001509C4">
    <w:pPr>
      <w:pStyle w:val="Bunn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D290D" w14:textId="77777777" w:rsidR="00281FD6" w:rsidRDefault="00281FD6" w:rsidP="005F2A1D">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sidR="00157D12">
      <w:rPr>
        <w:rStyle w:val="Sidetall"/>
        <w:noProof/>
      </w:rPr>
      <w:t>1</w:t>
    </w:r>
    <w:r>
      <w:rPr>
        <w:rStyle w:val="Sidetall"/>
      </w:rPr>
      <w:fldChar w:fldCharType="end"/>
    </w:r>
  </w:p>
  <w:p w14:paraId="5F6406FE" w14:textId="77777777" w:rsidR="00281FD6" w:rsidRDefault="00281FD6" w:rsidP="001509C4">
    <w:pPr>
      <w:pStyle w:val="Bunntekst"/>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22EC12" w14:textId="77777777" w:rsidR="00281FD6" w:rsidRDefault="00281FD6" w:rsidP="001509C4">
      <w:r>
        <w:separator/>
      </w:r>
    </w:p>
  </w:footnote>
  <w:footnote w:type="continuationSeparator" w:id="0">
    <w:p w14:paraId="71CE459D" w14:textId="77777777" w:rsidR="00281FD6" w:rsidRDefault="00281FD6" w:rsidP="001509C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945BD"/>
    <w:multiLevelType w:val="multilevel"/>
    <w:tmpl w:val="4EB60C50"/>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22D03895"/>
    <w:multiLevelType w:val="hybridMultilevel"/>
    <w:tmpl w:val="2AD23576"/>
    <w:lvl w:ilvl="0" w:tplc="13005F0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CA70D02"/>
    <w:multiLevelType w:val="hybridMultilevel"/>
    <w:tmpl w:val="CDEEC0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isplayBackgroundShape/>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DF1"/>
    <w:rsid w:val="00022B85"/>
    <w:rsid w:val="00050A17"/>
    <w:rsid w:val="000519A5"/>
    <w:rsid w:val="000519CA"/>
    <w:rsid w:val="000726E6"/>
    <w:rsid w:val="00072B8B"/>
    <w:rsid w:val="0008460A"/>
    <w:rsid w:val="0008563C"/>
    <w:rsid w:val="000C001B"/>
    <w:rsid w:val="000D0FEE"/>
    <w:rsid w:val="000E12CA"/>
    <w:rsid w:val="000F2377"/>
    <w:rsid w:val="000F381B"/>
    <w:rsid w:val="00120770"/>
    <w:rsid w:val="001210E5"/>
    <w:rsid w:val="00126840"/>
    <w:rsid w:val="00145B77"/>
    <w:rsid w:val="001477F8"/>
    <w:rsid w:val="001509C4"/>
    <w:rsid w:val="00150D31"/>
    <w:rsid w:val="001519D4"/>
    <w:rsid w:val="001521EB"/>
    <w:rsid w:val="00152D0C"/>
    <w:rsid w:val="00154256"/>
    <w:rsid w:val="001552C2"/>
    <w:rsid w:val="00157D12"/>
    <w:rsid w:val="00171F68"/>
    <w:rsid w:val="00175154"/>
    <w:rsid w:val="00177BD0"/>
    <w:rsid w:val="00181082"/>
    <w:rsid w:val="00181F61"/>
    <w:rsid w:val="001964D4"/>
    <w:rsid w:val="001A1E03"/>
    <w:rsid w:val="001A24FC"/>
    <w:rsid w:val="001C2302"/>
    <w:rsid w:val="001D255C"/>
    <w:rsid w:val="001D4C33"/>
    <w:rsid w:val="001E58C2"/>
    <w:rsid w:val="001E5C30"/>
    <w:rsid w:val="002011AC"/>
    <w:rsid w:val="00203089"/>
    <w:rsid w:val="002078B3"/>
    <w:rsid w:val="002161E7"/>
    <w:rsid w:val="0022705D"/>
    <w:rsid w:val="00230ACA"/>
    <w:rsid w:val="00251A36"/>
    <w:rsid w:val="00253C0C"/>
    <w:rsid w:val="0026023F"/>
    <w:rsid w:val="00262B80"/>
    <w:rsid w:val="0026662B"/>
    <w:rsid w:val="00281FD6"/>
    <w:rsid w:val="00282795"/>
    <w:rsid w:val="002936C6"/>
    <w:rsid w:val="002A3694"/>
    <w:rsid w:val="002B49F4"/>
    <w:rsid w:val="002B78D8"/>
    <w:rsid w:val="002C0BB5"/>
    <w:rsid w:val="002C347B"/>
    <w:rsid w:val="002E1AC4"/>
    <w:rsid w:val="00305066"/>
    <w:rsid w:val="003067DF"/>
    <w:rsid w:val="00306A7A"/>
    <w:rsid w:val="00311D84"/>
    <w:rsid w:val="003165F1"/>
    <w:rsid w:val="003205DD"/>
    <w:rsid w:val="00321B27"/>
    <w:rsid w:val="00345594"/>
    <w:rsid w:val="003502F1"/>
    <w:rsid w:val="00355F75"/>
    <w:rsid w:val="003623CC"/>
    <w:rsid w:val="00367A9B"/>
    <w:rsid w:val="00373A9A"/>
    <w:rsid w:val="00380111"/>
    <w:rsid w:val="00380C1F"/>
    <w:rsid w:val="0038418B"/>
    <w:rsid w:val="00386E3B"/>
    <w:rsid w:val="00387FA5"/>
    <w:rsid w:val="00390F90"/>
    <w:rsid w:val="00395E4A"/>
    <w:rsid w:val="003A7115"/>
    <w:rsid w:val="003B3F39"/>
    <w:rsid w:val="003D03FC"/>
    <w:rsid w:val="003D3F8D"/>
    <w:rsid w:val="003D730C"/>
    <w:rsid w:val="003E14F2"/>
    <w:rsid w:val="003E572F"/>
    <w:rsid w:val="003F258F"/>
    <w:rsid w:val="004070A8"/>
    <w:rsid w:val="0041254C"/>
    <w:rsid w:val="0042207E"/>
    <w:rsid w:val="00455651"/>
    <w:rsid w:val="00461A49"/>
    <w:rsid w:val="00485ABE"/>
    <w:rsid w:val="004871FD"/>
    <w:rsid w:val="004C2155"/>
    <w:rsid w:val="004E4768"/>
    <w:rsid w:val="004F18AB"/>
    <w:rsid w:val="004F4EB8"/>
    <w:rsid w:val="00507A14"/>
    <w:rsid w:val="00515FEB"/>
    <w:rsid w:val="0051619F"/>
    <w:rsid w:val="0052011F"/>
    <w:rsid w:val="0052497B"/>
    <w:rsid w:val="00530614"/>
    <w:rsid w:val="00543191"/>
    <w:rsid w:val="00550340"/>
    <w:rsid w:val="005557C0"/>
    <w:rsid w:val="005675C6"/>
    <w:rsid w:val="0059498B"/>
    <w:rsid w:val="005B14A8"/>
    <w:rsid w:val="005B6B66"/>
    <w:rsid w:val="005C3EFC"/>
    <w:rsid w:val="005D2845"/>
    <w:rsid w:val="005E73B8"/>
    <w:rsid w:val="005F2A1D"/>
    <w:rsid w:val="00600559"/>
    <w:rsid w:val="00605608"/>
    <w:rsid w:val="006235E3"/>
    <w:rsid w:val="00632983"/>
    <w:rsid w:val="00636E8B"/>
    <w:rsid w:val="00656A9A"/>
    <w:rsid w:val="00680BC1"/>
    <w:rsid w:val="006C6F42"/>
    <w:rsid w:val="006D10F7"/>
    <w:rsid w:val="006E0A16"/>
    <w:rsid w:val="006E2D13"/>
    <w:rsid w:val="00701755"/>
    <w:rsid w:val="00712AE6"/>
    <w:rsid w:val="0074266A"/>
    <w:rsid w:val="00743F85"/>
    <w:rsid w:val="00745574"/>
    <w:rsid w:val="007622F9"/>
    <w:rsid w:val="00774198"/>
    <w:rsid w:val="0078123F"/>
    <w:rsid w:val="00783CC0"/>
    <w:rsid w:val="007844BA"/>
    <w:rsid w:val="00790B9A"/>
    <w:rsid w:val="00794EEF"/>
    <w:rsid w:val="00797EB2"/>
    <w:rsid w:val="007A5402"/>
    <w:rsid w:val="007B5EEF"/>
    <w:rsid w:val="007C22BE"/>
    <w:rsid w:val="007D5D20"/>
    <w:rsid w:val="007E1EE2"/>
    <w:rsid w:val="007F4934"/>
    <w:rsid w:val="008005D2"/>
    <w:rsid w:val="00800D5A"/>
    <w:rsid w:val="008017B9"/>
    <w:rsid w:val="008028FD"/>
    <w:rsid w:val="008040EC"/>
    <w:rsid w:val="008205A5"/>
    <w:rsid w:val="0082191E"/>
    <w:rsid w:val="00821EFF"/>
    <w:rsid w:val="0082339C"/>
    <w:rsid w:val="00824FDE"/>
    <w:rsid w:val="00834263"/>
    <w:rsid w:val="0083463E"/>
    <w:rsid w:val="00836543"/>
    <w:rsid w:val="00846B87"/>
    <w:rsid w:val="00876BC1"/>
    <w:rsid w:val="00895BBD"/>
    <w:rsid w:val="008A22A6"/>
    <w:rsid w:val="008A6851"/>
    <w:rsid w:val="008D3265"/>
    <w:rsid w:val="008E2D00"/>
    <w:rsid w:val="008E6985"/>
    <w:rsid w:val="009144EC"/>
    <w:rsid w:val="00930EA2"/>
    <w:rsid w:val="00940472"/>
    <w:rsid w:val="00975458"/>
    <w:rsid w:val="009940DF"/>
    <w:rsid w:val="009A2B08"/>
    <w:rsid w:val="009C210D"/>
    <w:rsid w:val="009C32B4"/>
    <w:rsid w:val="009C42DB"/>
    <w:rsid w:val="009C78F3"/>
    <w:rsid w:val="009D0EB0"/>
    <w:rsid w:val="009D480C"/>
    <w:rsid w:val="009D5A0B"/>
    <w:rsid w:val="009E4FFE"/>
    <w:rsid w:val="009E63D1"/>
    <w:rsid w:val="00A07B62"/>
    <w:rsid w:val="00A23759"/>
    <w:rsid w:val="00A30BED"/>
    <w:rsid w:val="00A368DA"/>
    <w:rsid w:val="00A43A86"/>
    <w:rsid w:val="00A45DAB"/>
    <w:rsid w:val="00A47ED3"/>
    <w:rsid w:val="00A518C1"/>
    <w:rsid w:val="00A6103E"/>
    <w:rsid w:val="00A7535C"/>
    <w:rsid w:val="00A75F9F"/>
    <w:rsid w:val="00A773C2"/>
    <w:rsid w:val="00A860E0"/>
    <w:rsid w:val="00A900CD"/>
    <w:rsid w:val="00A91173"/>
    <w:rsid w:val="00A954C2"/>
    <w:rsid w:val="00AA419F"/>
    <w:rsid w:val="00AA6C3F"/>
    <w:rsid w:val="00AA7E03"/>
    <w:rsid w:val="00AB1BE3"/>
    <w:rsid w:val="00AC5433"/>
    <w:rsid w:val="00AD1643"/>
    <w:rsid w:val="00AE039C"/>
    <w:rsid w:val="00AF1A54"/>
    <w:rsid w:val="00AF509C"/>
    <w:rsid w:val="00AF5DF1"/>
    <w:rsid w:val="00B01146"/>
    <w:rsid w:val="00B01A9F"/>
    <w:rsid w:val="00B62BCC"/>
    <w:rsid w:val="00B75D3B"/>
    <w:rsid w:val="00BA1E83"/>
    <w:rsid w:val="00BB03C9"/>
    <w:rsid w:val="00BB5D49"/>
    <w:rsid w:val="00BC5EE0"/>
    <w:rsid w:val="00BE01C6"/>
    <w:rsid w:val="00BE25C5"/>
    <w:rsid w:val="00BE3A71"/>
    <w:rsid w:val="00BE5986"/>
    <w:rsid w:val="00BF5B70"/>
    <w:rsid w:val="00C05D6F"/>
    <w:rsid w:val="00C16764"/>
    <w:rsid w:val="00C22F04"/>
    <w:rsid w:val="00C244FE"/>
    <w:rsid w:val="00C24B61"/>
    <w:rsid w:val="00C30354"/>
    <w:rsid w:val="00C41529"/>
    <w:rsid w:val="00C44A02"/>
    <w:rsid w:val="00C46243"/>
    <w:rsid w:val="00C60C22"/>
    <w:rsid w:val="00C75158"/>
    <w:rsid w:val="00C758A1"/>
    <w:rsid w:val="00C81544"/>
    <w:rsid w:val="00C84F73"/>
    <w:rsid w:val="00C86006"/>
    <w:rsid w:val="00C865D1"/>
    <w:rsid w:val="00C9247A"/>
    <w:rsid w:val="00CA30D2"/>
    <w:rsid w:val="00CA4A15"/>
    <w:rsid w:val="00CC2910"/>
    <w:rsid w:val="00CC62C6"/>
    <w:rsid w:val="00CD21E0"/>
    <w:rsid w:val="00CD511E"/>
    <w:rsid w:val="00CE6846"/>
    <w:rsid w:val="00CF3CA0"/>
    <w:rsid w:val="00D20CFC"/>
    <w:rsid w:val="00D346C2"/>
    <w:rsid w:val="00D41BEF"/>
    <w:rsid w:val="00D52536"/>
    <w:rsid w:val="00D52E19"/>
    <w:rsid w:val="00D553AA"/>
    <w:rsid w:val="00D60ACA"/>
    <w:rsid w:val="00D61965"/>
    <w:rsid w:val="00D628BC"/>
    <w:rsid w:val="00D641EC"/>
    <w:rsid w:val="00D71A39"/>
    <w:rsid w:val="00D72E31"/>
    <w:rsid w:val="00D8461E"/>
    <w:rsid w:val="00D84EF5"/>
    <w:rsid w:val="00D86515"/>
    <w:rsid w:val="00D9056F"/>
    <w:rsid w:val="00DA6953"/>
    <w:rsid w:val="00DA7BFA"/>
    <w:rsid w:val="00DB5BD9"/>
    <w:rsid w:val="00DC595E"/>
    <w:rsid w:val="00DD02F6"/>
    <w:rsid w:val="00DD4B9F"/>
    <w:rsid w:val="00DD6290"/>
    <w:rsid w:val="00DE10D2"/>
    <w:rsid w:val="00DE2EE2"/>
    <w:rsid w:val="00DE7F1B"/>
    <w:rsid w:val="00E02994"/>
    <w:rsid w:val="00E13B65"/>
    <w:rsid w:val="00E14E23"/>
    <w:rsid w:val="00E25BE6"/>
    <w:rsid w:val="00E277FA"/>
    <w:rsid w:val="00E30807"/>
    <w:rsid w:val="00E3394E"/>
    <w:rsid w:val="00E56F5A"/>
    <w:rsid w:val="00E746E0"/>
    <w:rsid w:val="00E762D9"/>
    <w:rsid w:val="00E76FFF"/>
    <w:rsid w:val="00E80DF7"/>
    <w:rsid w:val="00E93885"/>
    <w:rsid w:val="00E94634"/>
    <w:rsid w:val="00E9481C"/>
    <w:rsid w:val="00EA03AE"/>
    <w:rsid w:val="00EA5555"/>
    <w:rsid w:val="00EB4769"/>
    <w:rsid w:val="00EC3DF4"/>
    <w:rsid w:val="00ED2045"/>
    <w:rsid w:val="00ED7FC9"/>
    <w:rsid w:val="00EE1730"/>
    <w:rsid w:val="00EE42A6"/>
    <w:rsid w:val="00F01622"/>
    <w:rsid w:val="00F079B6"/>
    <w:rsid w:val="00F24B05"/>
    <w:rsid w:val="00F53A58"/>
    <w:rsid w:val="00F6586A"/>
    <w:rsid w:val="00F7562B"/>
    <w:rsid w:val="00F76F5D"/>
    <w:rsid w:val="00F854B1"/>
    <w:rsid w:val="00FA1C36"/>
    <w:rsid w:val="00FA3349"/>
    <w:rsid w:val="00FA4C71"/>
    <w:rsid w:val="00FC3E95"/>
    <w:rsid w:val="00FC7F4C"/>
    <w:rsid w:val="00FD0A7A"/>
    <w:rsid w:val="00FD6BF9"/>
    <w:rsid w:val="00FE34DC"/>
    <w:rsid w:val="00FE738D"/>
    <w:rsid w:val="00FE77E9"/>
    <w:rsid w:val="00FF007B"/>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colormenu v:ext="edit" fillcolor="none [3212]"/>
    </o:shapedefaults>
    <o:shapelayout v:ext="edit">
      <o:idmap v:ext="edit" data="1"/>
    </o:shapelayout>
  </w:shapeDefaults>
  <w:decimalSymbol w:val=","/>
  <w:listSeparator w:val=";"/>
  <w14:docId w14:val="27E58ED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7B9"/>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8017B9"/>
    <w:pPr>
      <w:ind w:left="720"/>
      <w:contextualSpacing/>
    </w:pPr>
  </w:style>
  <w:style w:type="paragraph" w:styleId="Bunntekst">
    <w:name w:val="footer"/>
    <w:basedOn w:val="Normal"/>
    <w:link w:val="BunntekstTegn"/>
    <w:uiPriority w:val="99"/>
    <w:unhideWhenUsed/>
    <w:rsid w:val="001509C4"/>
    <w:pPr>
      <w:tabs>
        <w:tab w:val="center" w:pos="4536"/>
        <w:tab w:val="right" w:pos="9072"/>
      </w:tabs>
    </w:pPr>
  </w:style>
  <w:style w:type="character" w:customStyle="1" w:styleId="BunntekstTegn">
    <w:name w:val="Bunntekst Tegn"/>
    <w:basedOn w:val="Standardskriftforavsnitt"/>
    <w:link w:val="Bunntekst"/>
    <w:uiPriority w:val="99"/>
    <w:rsid w:val="001509C4"/>
  </w:style>
  <w:style w:type="character" w:styleId="Sidetall">
    <w:name w:val="page number"/>
    <w:basedOn w:val="Standardskriftforavsnitt"/>
    <w:uiPriority w:val="99"/>
    <w:semiHidden/>
    <w:unhideWhenUsed/>
    <w:rsid w:val="001509C4"/>
  </w:style>
  <w:style w:type="character" w:styleId="Hyperkobling">
    <w:name w:val="Hyperlink"/>
    <w:basedOn w:val="Standardskriftforavsnitt"/>
    <w:uiPriority w:val="99"/>
    <w:unhideWhenUsed/>
    <w:rsid w:val="00A7535C"/>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7B9"/>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8017B9"/>
    <w:pPr>
      <w:ind w:left="720"/>
      <w:contextualSpacing/>
    </w:pPr>
  </w:style>
  <w:style w:type="paragraph" w:styleId="Bunntekst">
    <w:name w:val="footer"/>
    <w:basedOn w:val="Normal"/>
    <w:link w:val="BunntekstTegn"/>
    <w:uiPriority w:val="99"/>
    <w:unhideWhenUsed/>
    <w:rsid w:val="001509C4"/>
    <w:pPr>
      <w:tabs>
        <w:tab w:val="center" w:pos="4536"/>
        <w:tab w:val="right" w:pos="9072"/>
      </w:tabs>
    </w:pPr>
  </w:style>
  <w:style w:type="character" w:customStyle="1" w:styleId="BunntekstTegn">
    <w:name w:val="Bunntekst Tegn"/>
    <w:basedOn w:val="Standardskriftforavsnitt"/>
    <w:link w:val="Bunntekst"/>
    <w:uiPriority w:val="99"/>
    <w:rsid w:val="001509C4"/>
  </w:style>
  <w:style w:type="character" w:styleId="Sidetall">
    <w:name w:val="page number"/>
    <w:basedOn w:val="Standardskriftforavsnitt"/>
    <w:uiPriority w:val="99"/>
    <w:semiHidden/>
    <w:unhideWhenUsed/>
    <w:rsid w:val="001509C4"/>
  </w:style>
  <w:style w:type="character" w:styleId="Hyperkobling">
    <w:name w:val="Hyperlink"/>
    <w:basedOn w:val="Standardskriftforavsnitt"/>
    <w:uiPriority w:val="99"/>
    <w:unhideWhenUsed/>
    <w:rsid w:val="00A7535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uio.no/studier/emner/jus/jus/JUS4211/oppgaver/index.html" TargetMode="External"/><Relationship Id="rId10"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8ADBB-42C3-014C-BAF6-C784B80EC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4488</Words>
  <Characters>23789</Characters>
  <Application>Microsoft Macintosh Word</Application>
  <DocSecurity>0</DocSecurity>
  <Lines>198</Lines>
  <Paragraphs>56</Paragraphs>
  <ScaleCrop>false</ScaleCrop>
  <Company/>
  <LinksUpToDate>false</LinksUpToDate>
  <CharactersWithSpaces>28221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Toril Strande</dc:creator>
  <cp:keywords/>
  <dc:description/>
  <cp:lastModifiedBy>Toril Strande</cp:lastModifiedBy>
  <cp:revision>13</cp:revision>
  <dcterms:created xsi:type="dcterms:W3CDTF">2015-02-12T21:31:00Z</dcterms:created>
  <dcterms:modified xsi:type="dcterms:W3CDTF">2015-02-12T22:32:00Z</dcterms:modified>
</cp:coreProperties>
</file>