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r>
        <w:rPr>
          <w:rFonts w:ascii="Arial" w:eastAsia="Times New Roman" w:hAnsi="Arial" w:cs="Arial"/>
          <w:b/>
          <w:bCs/>
          <w:color w:val="CC052B"/>
          <w:sz w:val="24"/>
          <w:szCs w:val="24"/>
          <w:lang w:eastAsia="nb-NO"/>
        </w:rPr>
        <w:t>Avtaleloven</w:t>
      </w:r>
      <w:r w:rsidRPr="007840B0">
        <w:rPr>
          <w:rFonts w:ascii="Arial" w:eastAsia="Times New Roman" w:hAnsi="Arial" w:cs="Arial"/>
          <w:b/>
          <w:bCs/>
          <w:color w:val="CC052B"/>
          <w:sz w:val="24"/>
          <w:szCs w:val="24"/>
          <w:lang w:eastAsia="nb-NO"/>
        </w:rPr>
        <w:t>.</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0" w:name="map001"/>
      <w:bookmarkEnd w:id="0"/>
      <w:r w:rsidRPr="007840B0">
        <w:rPr>
          <w:rFonts w:ascii="Arial" w:eastAsia="Times New Roman" w:hAnsi="Arial" w:cs="Arial"/>
          <w:b/>
          <w:bCs/>
          <w:color w:val="CC052B"/>
          <w:sz w:val="24"/>
          <w:szCs w:val="24"/>
          <w:lang w:eastAsia="nb-NO"/>
        </w:rPr>
        <w:t>1ste kapitel. Om avslutning av avtaler.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 w:name="1"/>
      <w:bookmarkEnd w:id="1"/>
      <w:r w:rsidRPr="007840B0">
        <w:rPr>
          <w:rFonts w:ascii="Arial" w:eastAsia="Times New Roman" w:hAnsi="Arial" w:cs="Arial"/>
          <w:b/>
          <w:bCs/>
          <w:color w:val="000000"/>
          <w:sz w:val="24"/>
          <w:szCs w:val="24"/>
          <w:lang w:eastAsia="nb-NO"/>
        </w:rPr>
        <w:t>§ 1.</w:t>
      </w:r>
      <w:r w:rsidRPr="007840B0">
        <w:rPr>
          <w:rFonts w:ascii="Arial" w:eastAsia="Times New Roman" w:hAnsi="Arial" w:cs="Arial"/>
          <w:color w:val="000000"/>
          <w:sz w:val="24"/>
          <w:szCs w:val="24"/>
          <w:lang w:eastAsia="nb-NO"/>
        </w:rPr>
        <w:t> Reglerne i dette kapitel kommer til anvendelse, hvis ikke andet følger av retshandelen eller av handelsbruk eller anden sedvane.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2" w:name="2"/>
      <w:bookmarkEnd w:id="2"/>
      <w:r w:rsidRPr="007840B0">
        <w:rPr>
          <w:rFonts w:ascii="Arial" w:eastAsia="Times New Roman" w:hAnsi="Arial" w:cs="Arial"/>
          <w:b/>
          <w:bCs/>
          <w:color w:val="000000"/>
          <w:sz w:val="24"/>
          <w:szCs w:val="24"/>
          <w:lang w:eastAsia="nb-NO"/>
        </w:rPr>
        <w:t>§ 2.</w:t>
      </w:r>
      <w:r w:rsidRPr="007840B0">
        <w:rPr>
          <w:rFonts w:ascii="Arial" w:eastAsia="Times New Roman" w:hAnsi="Arial" w:cs="Arial"/>
          <w:color w:val="000000"/>
          <w:sz w:val="24"/>
          <w:szCs w:val="24"/>
          <w:lang w:eastAsia="nb-NO"/>
        </w:rPr>
        <w:t> Har den, som har tilbudt at slutte en avtale, forlangt svar inden en viss frist (akceptfrist), maa svar, som antar tilbudet (akcept), være kommet frem til ham, før fristen er ute.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Er tilbudet gjort i brev, regnes fristen fra den dag, brevet er datert. Er tilbudet gjort i telegram, regnes fristen fra det øieblik, det er indlevert til avsendelsesstedets telegrafstation.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3" w:name="3"/>
      <w:bookmarkEnd w:id="3"/>
      <w:r w:rsidRPr="007840B0">
        <w:rPr>
          <w:rFonts w:ascii="Arial" w:eastAsia="Times New Roman" w:hAnsi="Arial" w:cs="Arial"/>
          <w:b/>
          <w:bCs/>
          <w:color w:val="000000"/>
          <w:sz w:val="24"/>
          <w:szCs w:val="24"/>
          <w:lang w:eastAsia="nb-NO"/>
        </w:rPr>
        <w:t>§ 3.</w:t>
      </w:r>
      <w:r w:rsidRPr="007840B0">
        <w:rPr>
          <w:rFonts w:ascii="Arial" w:eastAsia="Times New Roman" w:hAnsi="Arial" w:cs="Arial"/>
          <w:color w:val="000000"/>
          <w:sz w:val="24"/>
          <w:szCs w:val="24"/>
          <w:lang w:eastAsia="nb-NO"/>
        </w:rPr>
        <w:t> Har tilbyderen ikke fastsat nogen akceptfrist, maa akcepten, hvis tilbudet er gjort i brev eller telegram, være kommet frem til ham inden utløpet av den tid, som han, da han avgav tilbudet, maatte regne paa skulde gaa med. Tiden beregnes, hvis ikke andet fremgaar av forholdet, under forutsætning av, at tilbudet kommer frem uten forsinkelse, at den anden part skal ha rimelig tid til at overveie, før han svarer, og at svaret ikke blir forsinket underveis. Er tilbudet gjort i telegram, skal akcepten telegraferes, hvis den ikke paa anden maate kommer likesaa tidlig frem.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Er tilbudet gjort mundtlig og akceptfrist ikke indrømmet, maa det straks akcepteres.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4" w:name="4"/>
      <w:bookmarkEnd w:id="4"/>
      <w:r w:rsidRPr="007840B0">
        <w:rPr>
          <w:rFonts w:ascii="Arial" w:eastAsia="Times New Roman" w:hAnsi="Arial" w:cs="Arial"/>
          <w:b/>
          <w:bCs/>
          <w:color w:val="000000"/>
          <w:sz w:val="24"/>
          <w:szCs w:val="24"/>
          <w:lang w:eastAsia="nb-NO"/>
        </w:rPr>
        <w:t>§ 4.</w:t>
      </w:r>
      <w:r w:rsidRPr="007840B0">
        <w:rPr>
          <w:rFonts w:ascii="Arial" w:eastAsia="Times New Roman" w:hAnsi="Arial" w:cs="Arial"/>
          <w:color w:val="000000"/>
          <w:sz w:val="24"/>
          <w:szCs w:val="24"/>
          <w:lang w:eastAsia="nb-NO"/>
        </w:rPr>
        <w:t> Kommer akcepten for sent frem, ansees den for nyt tilbud.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Dette gjælder dog ikke, hvis avsenderen av akcepten gaar ut fra, at den er kommet frem i rette tid, og tilbyderen maa forstaa dette. I saa fald skal han, hvis han ikke vil godta akcepten, uten ugrundet ophold gi den anden part meddelelse om det. Ellers ansees avtale for sluttet.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5" w:name="5"/>
      <w:bookmarkEnd w:id="5"/>
      <w:r w:rsidRPr="007840B0">
        <w:rPr>
          <w:rFonts w:ascii="Arial" w:eastAsia="Times New Roman" w:hAnsi="Arial" w:cs="Arial"/>
          <w:b/>
          <w:bCs/>
          <w:color w:val="000000"/>
          <w:sz w:val="24"/>
          <w:szCs w:val="24"/>
          <w:lang w:eastAsia="nb-NO"/>
        </w:rPr>
        <w:t>§ 5.</w:t>
      </w:r>
      <w:r w:rsidRPr="007840B0">
        <w:rPr>
          <w:rFonts w:ascii="Arial" w:eastAsia="Times New Roman" w:hAnsi="Arial" w:cs="Arial"/>
          <w:color w:val="000000"/>
          <w:sz w:val="24"/>
          <w:szCs w:val="24"/>
          <w:lang w:eastAsia="nb-NO"/>
        </w:rPr>
        <w:t> Blir tilbudet avslaat, ophører det at være bindende for tilbyderen, selv om akceptfristen ikke er ute.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6" w:name="6"/>
      <w:bookmarkEnd w:id="6"/>
      <w:r w:rsidRPr="007840B0">
        <w:rPr>
          <w:rFonts w:ascii="Arial" w:eastAsia="Times New Roman" w:hAnsi="Arial" w:cs="Arial"/>
          <w:b/>
          <w:bCs/>
          <w:color w:val="000000"/>
          <w:sz w:val="24"/>
          <w:szCs w:val="24"/>
          <w:lang w:eastAsia="nb-NO"/>
        </w:rPr>
        <w:t>§ 6.</w:t>
      </w:r>
      <w:r w:rsidRPr="007840B0">
        <w:rPr>
          <w:rFonts w:ascii="Arial" w:eastAsia="Times New Roman" w:hAnsi="Arial" w:cs="Arial"/>
          <w:color w:val="000000"/>
          <w:sz w:val="24"/>
          <w:szCs w:val="24"/>
          <w:lang w:eastAsia="nb-NO"/>
        </w:rPr>
        <w:t> Fremtræder svaret som akcept, men stemmer det ikke med tilbudet, ansees det for avslag i forening med nyt tilbud.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Dette gjælder dog ikke, hvis avsenderen av akcepten gaar ut fra, at den stemmer med tilbudet, og tilbyderen maa forstaa dette. I saa fald skal han, hvis han ikke vil godta akcepten, uten ugrundet ophold gi den anden part meddelelse om det. Ellers ansees avtale for sluttet med det indhold, akcepten har.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7" w:name="7"/>
      <w:bookmarkEnd w:id="7"/>
      <w:r w:rsidRPr="007840B0">
        <w:rPr>
          <w:rFonts w:ascii="Arial" w:eastAsia="Times New Roman" w:hAnsi="Arial" w:cs="Arial"/>
          <w:b/>
          <w:bCs/>
          <w:color w:val="000000"/>
          <w:sz w:val="24"/>
          <w:szCs w:val="24"/>
          <w:lang w:eastAsia="nb-NO"/>
        </w:rPr>
        <w:t>§ 7.</w:t>
      </w:r>
      <w:r w:rsidRPr="007840B0">
        <w:rPr>
          <w:rFonts w:ascii="Arial" w:eastAsia="Times New Roman" w:hAnsi="Arial" w:cs="Arial"/>
          <w:color w:val="000000"/>
          <w:sz w:val="24"/>
          <w:szCs w:val="24"/>
          <w:lang w:eastAsia="nb-NO"/>
        </w:rPr>
        <w:t> Kaldes tilbud eller svar paa tilbud tilbake, er tilbakekaldelsen virksom, hvis den kommer frem til den anden part før eller samtidig med, at tilbudet eller svaret kommer til hans kundskap.</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8" w:name="8"/>
      <w:bookmarkEnd w:id="8"/>
      <w:r w:rsidRPr="007840B0">
        <w:rPr>
          <w:rFonts w:ascii="Arial" w:eastAsia="Times New Roman" w:hAnsi="Arial" w:cs="Arial"/>
          <w:b/>
          <w:bCs/>
          <w:color w:val="000000"/>
          <w:sz w:val="24"/>
          <w:szCs w:val="24"/>
          <w:lang w:eastAsia="nb-NO"/>
        </w:rPr>
        <w:t>§ 8.</w:t>
      </w:r>
      <w:r w:rsidRPr="007840B0">
        <w:rPr>
          <w:rFonts w:ascii="Arial" w:eastAsia="Times New Roman" w:hAnsi="Arial" w:cs="Arial"/>
          <w:color w:val="000000"/>
          <w:sz w:val="24"/>
          <w:szCs w:val="24"/>
          <w:lang w:eastAsia="nb-NO"/>
        </w:rPr>
        <w:t> Selv om tilbyderen har erklært, at han vil anse den anden parts taushet for akcept, eller det forøvrig fremgaar av forholdet, at han ikke venter uttrykkelig svar, pligter allikevel den anden part paa forespørsel at gi svar, hvis han vil akceptere tilbudet. Gjør han ikke det, er tilbyderen fri.</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9" w:name="9"/>
      <w:bookmarkEnd w:id="9"/>
      <w:r w:rsidRPr="007840B0">
        <w:rPr>
          <w:rFonts w:ascii="Arial" w:eastAsia="Times New Roman" w:hAnsi="Arial" w:cs="Arial"/>
          <w:b/>
          <w:bCs/>
          <w:color w:val="000000"/>
          <w:sz w:val="24"/>
          <w:szCs w:val="24"/>
          <w:lang w:eastAsia="nb-NO"/>
        </w:rPr>
        <w:lastRenderedPageBreak/>
        <w:t>§ 9.</w:t>
      </w:r>
      <w:r w:rsidRPr="007840B0">
        <w:rPr>
          <w:rFonts w:ascii="Arial" w:eastAsia="Times New Roman" w:hAnsi="Arial" w:cs="Arial"/>
          <w:color w:val="000000"/>
          <w:sz w:val="24"/>
          <w:szCs w:val="24"/>
          <w:lang w:eastAsia="nb-NO"/>
        </w:rPr>
        <w:t> Har nogen i en henvendelse, som ellers vilde bli at betragte som tilbud, sat ind ordene « uten forbindtlighet », « uten obligo » eller lignende, er henvendelsen ikke et tilbud, men ansees for en opfordring til at gjøre tilbud av det indhold, henvendelsen har. Indløper et saadant tilbud inden rimelig tid fra nogen, som henvendelsen er rettet til, og maa mottageren gaa ut fra, at det er fremkaldt ved henvendelsen, skal han uten ugrundet ophold gi tilbyderen meddelelse, hvis han ikke vil akceptere tilbudet. Ellers ansees det for akceptert.</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10" w:name="map002"/>
      <w:bookmarkEnd w:id="10"/>
      <w:r w:rsidRPr="007840B0">
        <w:rPr>
          <w:rFonts w:ascii="Arial" w:eastAsia="Times New Roman" w:hAnsi="Arial" w:cs="Arial"/>
          <w:b/>
          <w:bCs/>
          <w:color w:val="CC052B"/>
          <w:sz w:val="24"/>
          <w:szCs w:val="24"/>
          <w:lang w:eastAsia="nb-NO"/>
        </w:rPr>
        <w:t>2det kapitel. Om fuldmagt.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1" w:name="10"/>
      <w:bookmarkEnd w:id="11"/>
      <w:r w:rsidRPr="007840B0">
        <w:rPr>
          <w:rFonts w:ascii="Arial" w:eastAsia="Times New Roman" w:hAnsi="Arial" w:cs="Arial"/>
          <w:b/>
          <w:bCs/>
          <w:color w:val="000000"/>
          <w:sz w:val="24"/>
          <w:szCs w:val="24"/>
          <w:lang w:eastAsia="nb-NO"/>
        </w:rPr>
        <w:t>§ 10.</w:t>
      </w:r>
      <w:r w:rsidRPr="007840B0">
        <w:rPr>
          <w:rFonts w:ascii="Arial" w:eastAsia="Times New Roman" w:hAnsi="Arial" w:cs="Arial"/>
          <w:color w:val="000000"/>
          <w:sz w:val="24"/>
          <w:szCs w:val="24"/>
          <w:lang w:eastAsia="nb-NO"/>
        </w:rPr>
        <w:t> Foretar fuldmægtigen en retshandel i fuldmagtsgiverens navn og indenfor fuldmagtens grænse, stifter retshandelen ret og pligt umiddelbart for fuldmagtsgiveren.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Indtar nogen ifølge avtale med en anden en stilling, som efter lov eller sedvane medfører beføielse for ham til indenfor visse grænser at handle paa den andens vegne, ansees han at ha fuldmagt til at foreta retshandler, som falder indenfor disse grænser.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2" w:name="11"/>
      <w:bookmarkEnd w:id="12"/>
      <w:r w:rsidRPr="007840B0">
        <w:rPr>
          <w:rFonts w:ascii="Arial" w:eastAsia="Times New Roman" w:hAnsi="Arial" w:cs="Arial"/>
          <w:b/>
          <w:bCs/>
          <w:color w:val="000000"/>
          <w:sz w:val="24"/>
          <w:szCs w:val="24"/>
          <w:lang w:eastAsia="nb-NO"/>
        </w:rPr>
        <w:t>§ 11.</w:t>
      </w:r>
      <w:r w:rsidRPr="007840B0">
        <w:rPr>
          <w:rFonts w:ascii="Arial" w:eastAsia="Times New Roman" w:hAnsi="Arial" w:cs="Arial"/>
          <w:color w:val="000000"/>
          <w:sz w:val="24"/>
          <w:szCs w:val="24"/>
          <w:lang w:eastAsia="nb-NO"/>
        </w:rPr>
        <w:t> Har fuldmægtigen handlet i strid med forskrifter, som fuldmagtsgiveren har git ham, og forstod tredjemand det eller burde han forstaat det, blir retshandelen ikke bindende for fuldmagtsgiveren, selv om den ligger indenfor fuldmagten.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Har fuldmagtsgiveren bare meddelt fuldmagten til fuldmægtigen (§ 18), gjælder det samme, selv om tredjemand var i god tro.</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3" w:name="12"/>
      <w:bookmarkEnd w:id="13"/>
      <w:r w:rsidRPr="007840B0">
        <w:rPr>
          <w:rFonts w:ascii="Arial" w:eastAsia="Times New Roman" w:hAnsi="Arial" w:cs="Arial"/>
          <w:b/>
          <w:bCs/>
          <w:color w:val="000000"/>
          <w:sz w:val="24"/>
          <w:szCs w:val="24"/>
          <w:lang w:eastAsia="nb-NO"/>
        </w:rPr>
        <w:t>§ 12.</w:t>
      </w:r>
      <w:r w:rsidRPr="007840B0">
        <w:rPr>
          <w:rFonts w:ascii="Arial" w:eastAsia="Times New Roman" w:hAnsi="Arial" w:cs="Arial"/>
          <w:color w:val="000000"/>
          <w:sz w:val="24"/>
          <w:szCs w:val="24"/>
          <w:lang w:eastAsia="nb-NO"/>
        </w:rPr>
        <w:t> Vil fuldmagtsgiveren tilbakekalde en fuldmagt, som er omhandlet i §§ 13-16, har han, selv om han har underrettet fuldmægtigen om, at fuldmagten ikke længer skal gjælde, at foreta, hvad der i de nævnte paragrafer for hvert enkelt tilfælde er foreskrevet. Er flere av disse forskrifter anvendelige paa samme fuldmagt, blir de alle at iagtta.</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Den tredjemand, overfor hvem en fuldmagt er tilbakekaldt paa den i § 13 omtalte maate, kan dog ikke gjøre gjældende, at den ogsaa skulde være kaldt tilbake paa anden maate.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4" w:name="13"/>
      <w:bookmarkEnd w:id="14"/>
      <w:r w:rsidRPr="007840B0">
        <w:rPr>
          <w:rFonts w:ascii="Arial" w:eastAsia="Times New Roman" w:hAnsi="Arial" w:cs="Arial"/>
          <w:b/>
          <w:bCs/>
          <w:color w:val="000000"/>
          <w:sz w:val="24"/>
          <w:szCs w:val="24"/>
          <w:lang w:eastAsia="nb-NO"/>
        </w:rPr>
        <w:t>§ 13.</w:t>
      </w:r>
      <w:r w:rsidRPr="007840B0">
        <w:rPr>
          <w:rFonts w:ascii="Arial" w:eastAsia="Times New Roman" w:hAnsi="Arial" w:cs="Arial"/>
          <w:color w:val="000000"/>
          <w:sz w:val="24"/>
          <w:szCs w:val="24"/>
          <w:lang w:eastAsia="nb-NO"/>
        </w:rPr>
        <w:t> Har fuldmagtsgiveren bragt fuldmagten til tredjemands kundskap gjennem en særskilt erklæring til ham, er den kaldt tilbake, naar en særskilt erklæring om, at den ikke længer skal gjælde, er kommet frem til tredjemand.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5" w:name="14"/>
      <w:bookmarkEnd w:id="15"/>
      <w:r w:rsidRPr="007840B0">
        <w:rPr>
          <w:rFonts w:ascii="Arial" w:eastAsia="Times New Roman" w:hAnsi="Arial" w:cs="Arial"/>
          <w:b/>
          <w:bCs/>
          <w:color w:val="000000"/>
          <w:sz w:val="24"/>
          <w:szCs w:val="24"/>
          <w:lang w:eastAsia="nb-NO"/>
        </w:rPr>
        <w:t>§ 14.</w:t>
      </w:r>
      <w:r w:rsidRPr="007840B0">
        <w:rPr>
          <w:rFonts w:ascii="Arial" w:eastAsia="Times New Roman" w:hAnsi="Arial" w:cs="Arial"/>
          <w:color w:val="000000"/>
          <w:sz w:val="24"/>
          <w:szCs w:val="24"/>
          <w:lang w:eastAsia="nb-NO"/>
        </w:rPr>
        <w:t> Har fuldmagtsgiveren kundgjort fuldmagten gjennem bladene eller paa anden maate, kaldes den tilbake ved en erklæring, som kundgjøres paa samme vis.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Lar dette sig ikke gjøre, kundgjøres erklæringen paa anden likesaa virksom maate. Fuldmagtsgiveren kan forlange, at den myndighet, som er nævnt i § 17, avgjør, hvad han maa foreta.</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20 juni 2003 nr. 45 (i kraft 1 juli 2003 iflg. res. 20 juni 2003 nr. 712).</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6" w:name="15"/>
      <w:bookmarkEnd w:id="16"/>
      <w:r w:rsidRPr="007840B0">
        <w:rPr>
          <w:rFonts w:ascii="Arial" w:eastAsia="Times New Roman" w:hAnsi="Arial" w:cs="Arial"/>
          <w:b/>
          <w:bCs/>
          <w:color w:val="000000"/>
          <w:sz w:val="24"/>
          <w:szCs w:val="24"/>
          <w:lang w:eastAsia="nb-NO"/>
        </w:rPr>
        <w:t>§ 15.</w:t>
      </w:r>
      <w:r w:rsidRPr="007840B0">
        <w:rPr>
          <w:rFonts w:ascii="Arial" w:eastAsia="Times New Roman" w:hAnsi="Arial" w:cs="Arial"/>
          <w:color w:val="000000"/>
          <w:sz w:val="24"/>
          <w:szCs w:val="24"/>
          <w:lang w:eastAsia="nb-NO"/>
        </w:rPr>
        <w:t> Fuldmagt som omhandlet i § 10, 2det led, tilbakekaldes ved, at fuldmægtigen fjernes fra stillingen.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7" w:name="16"/>
      <w:bookmarkEnd w:id="17"/>
      <w:r w:rsidRPr="007840B0">
        <w:rPr>
          <w:rFonts w:ascii="Arial" w:eastAsia="Times New Roman" w:hAnsi="Arial" w:cs="Arial"/>
          <w:b/>
          <w:bCs/>
          <w:color w:val="000000"/>
          <w:sz w:val="24"/>
          <w:szCs w:val="24"/>
          <w:lang w:eastAsia="nb-NO"/>
        </w:rPr>
        <w:lastRenderedPageBreak/>
        <w:t>§ 16.</w:t>
      </w:r>
      <w:r w:rsidRPr="007840B0">
        <w:rPr>
          <w:rFonts w:ascii="Arial" w:eastAsia="Times New Roman" w:hAnsi="Arial" w:cs="Arial"/>
          <w:color w:val="000000"/>
          <w:sz w:val="24"/>
          <w:szCs w:val="24"/>
          <w:lang w:eastAsia="nb-NO"/>
        </w:rPr>
        <w:t> Har fuldmagtsgiveren git fuldmægtigen skriftlig fuldmagt, kaldes den tilbake ved, at den paa fuldmagtsgiverens forlangende enten gives tilbake til ham eller tilintetgjøres.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Fuldmægtigen pligter at gi fuldmagten tilbake, naar fuldmagtsgiveren forlanger det.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8" w:name="17"/>
      <w:bookmarkEnd w:id="18"/>
      <w:r w:rsidRPr="007840B0">
        <w:rPr>
          <w:rFonts w:ascii="Arial" w:eastAsia="Times New Roman" w:hAnsi="Arial" w:cs="Arial"/>
          <w:b/>
          <w:bCs/>
          <w:color w:val="000000"/>
          <w:sz w:val="24"/>
          <w:szCs w:val="24"/>
          <w:lang w:eastAsia="nb-NO"/>
        </w:rPr>
        <w:t>§ 17.</w:t>
      </w:r>
      <w:r w:rsidRPr="007840B0">
        <w:rPr>
          <w:rFonts w:ascii="Arial" w:eastAsia="Times New Roman" w:hAnsi="Arial" w:cs="Arial"/>
          <w:color w:val="000000"/>
          <w:sz w:val="24"/>
          <w:szCs w:val="24"/>
          <w:lang w:eastAsia="nb-NO"/>
        </w:rPr>
        <w:t> Gjør fuldmagtsgiveren det sandsynlig, at det ikke er mulig at kalde en skriftlig fuldmagt tilbake paa den maate, som er foreskrevet i § 16, eller at det ikke kan ske i rimelig tid, kan fuldmagten paa fuldmagtsgiverens begjæring erklæres magtesløs.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Begjæringen indgives til den myndighet som fører Foretaksregisteret. Finder denne myndighet, at begjæringen bør indvilges, utfærdiger den en erklæring om, at fuldmagten skal være magtesløs, naar erklæringen har været indrykket i Brønnøysundregistrenes elektroniske kunngjøringspublikasjon og derefter en bestemt tid, høist fjorten dage, er gaat. Det kan i erklæringen bestemmes, at den ogsaa skal kundgjøres paa anden maate før indrykningen i den elektroniske kunngjøringspublikasjonen.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Negter registreringsmyndigheten at efterkomme begjæringen, kan fuldmagtsgiveren forlange spørsmaalet forelagt for vedkommende regjeringsdepartement.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9 mars 1962 nr. 1, 21 juni 1985 nr. 78, 5 sep 2003 nr. 92 (i kraft 1 jan 2004 iflg. res. 5 sep 2003 nr. 1119).</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9" w:name="18"/>
      <w:bookmarkEnd w:id="19"/>
      <w:r w:rsidRPr="007840B0">
        <w:rPr>
          <w:rFonts w:ascii="Arial" w:eastAsia="Times New Roman" w:hAnsi="Arial" w:cs="Arial"/>
          <w:b/>
          <w:bCs/>
          <w:color w:val="000000"/>
          <w:sz w:val="24"/>
          <w:szCs w:val="24"/>
          <w:lang w:eastAsia="nb-NO"/>
        </w:rPr>
        <w:t>§ 18.</w:t>
      </w:r>
      <w:r w:rsidRPr="007840B0">
        <w:rPr>
          <w:rFonts w:ascii="Arial" w:eastAsia="Times New Roman" w:hAnsi="Arial" w:cs="Arial"/>
          <w:color w:val="000000"/>
          <w:sz w:val="24"/>
          <w:szCs w:val="24"/>
          <w:lang w:eastAsia="nb-NO"/>
        </w:rPr>
        <w:t> Er fuldmagten bare meddelt gjennem en erklæring fra fuldmagtsgiveren til fuldmægtigen, er den kaldt tilbake, naar en erklæring om, at fuldmagten ikke skal gjælde lenger, er kommet frem til fuldmægtigen.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20" w:name="19"/>
      <w:bookmarkEnd w:id="20"/>
      <w:r w:rsidRPr="007840B0">
        <w:rPr>
          <w:rFonts w:ascii="Arial" w:eastAsia="Times New Roman" w:hAnsi="Arial" w:cs="Arial"/>
          <w:b/>
          <w:bCs/>
          <w:color w:val="000000"/>
          <w:sz w:val="24"/>
          <w:szCs w:val="24"/>
          <w:lang w:eastAsia="nb-NO"/>
        </w:rPr>
        <w:t>§ 19.</w:t>
      </w:r>
      <w:r w:rsidRPr="007840B0">
        <w:rPr>
          <w:rFonts w:ascii="Arial" w:eastAsia="Times New Roman" w:hAnsi="Arial" w:cs="Arial"/>
          <w:color w:val="000000"/>
          <w:sz w:val="24"/>
          <w:szCs w:val="24"/>
          <w:lang w:eastAsia="nb-NO"/>
        </w:rPr>
        <w:t> Er fuldmagten kaldt tilbake eller erklært magtesløs, men har fuldmagtsgiveren særlig grund til at tro, at fuldmægtigen allikevel vil foreta en retshandel paa hans vegne overfor en bestemt tredjemand, som han maa anta ikke kjender til, at fuldmagten ikke gjælder længer, maa han saa vidt mulig gi ham meddelelse om det. Ellers blir retshandelen bindende for fuldmagtsgiveren, hvis tredjemand var i god tro.</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21" w:name="20"/>
      <w:bookmarkEnd w:id="21"/>
      <w:r w:rsidRPr="007840B0">
        <w:rPr>
          <w:rFonts w:ascii="Arial" w:eastAsia="Times New Roman" w:hAnsi="Arial" w:cs="Arial"/>
          <w:b/>
          <w:bCs/>
          <w:color w:val="000000"/>
          <w:sz w:val="24"/>
          <w:szCs w:val="24"/>
          <w:lang w:eastAsia="nb-NO"/>
        </w:rPr>
        <w:t>§ 20.</w:t>
      </w:r>
      <w:r w:rsidRPr="007840B0">
        <w:rPr>
          <w:rFonts w:ascii="Arial" w:eastAsia="Times New Roman" w:hAnsi="Arial" w:cs="Arial"/>
          <w:color w:val="000000"/>
          <w:sz w:val="24"/>
          <w:szCs w:val="24"/>
          <w:lang w:eastAsia="nb-NO"/>
        </w:rPr>
        <w:t> Er fuldmagten ikke kaldt tilbake eller erklært magtesløs, men har fuldmagtsgiveren forbudt fuldmægtigen at bruke den, eller har han paa anden maate git tilkjende, at han ikke længer vil, at den skal gjælde, blir en retshandel, som fuldmægtigen foretar, ikke bindende for fuldmagtsgiveren, hvis tredjemand kjendte forholdet eller burde ha kjendt det.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22" w:name="21"/>
      <w:bookmarkEnd w:id="22"/>
      <w:r w:rsidRPr="007840B0">
        <w:rPr>
          <w:rFonts w:ascii="Arial" w:eastAsia="Times New Roman" w:hAnsi="Arial" w:cs="Arial"/>
          <w:b/>
          <w:bCs/>
          <w:color w:val="000000"/>
          <w:sz w:val="24"/>
          <w:szCs w:val="24"/>
          <w:lang w:eastAsia="nb-NO"/>
        </w:rPr>
        <w:t>§ 21.</w:t>
      </w:r>
      <w:r w:rsidRPr="007840B0">
        <w:rPr>
          <w:rFonts w:ascii="Arial" w:eastAsia="Times New Roman" w:hAnsi="Arial" w:cs="Arial"/>
          <w:color w:val="000000"/>
          <w:sz w:val="24"/>
          <w:szCs w:val="24"/>
          <w:lang w:eastAsia="nb-NO"/>
        </w:rPr>
        <w:t> Dør fuldmagtsgiveren, gjælder fuldmagten allikevel, forsaavidt ikke særlige grunde viser, at den skal falde bort. En retshandel, som fuldmægtigen foretar i henhold til fuldmagten, blir i hvert fald bindende for fuldmagtsgiverens bo, hvis tredjemand ikke kjendte eller burde ha kjendt dødsfaldet og dets betydning for fuldmagten til at foreta retshandelen. Har fuldmagtsgiveren bare meddelt fuldmagten til fuldmægtigen (§ 18), kræves det dog, forat retshandelen skal være bindende, at heller ikke fuldmægtigen kjendte forholdet eller burde ha kjendt det, da han foretok retshandelen.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Fuldmagten ophører fra det tidspunkt, fuldmagtsgiverens dødsbo tages under offentlig skiftebehandling.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30 aug 2002 nr. 67 (i kraft 1 jan 2003 iflg. res. 30 aug 2002 nr. 938).</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23" w:name="22"/>
      <w:bookmarkEnd w:id="23"/>
      <w:r w:rsidRPr="007840B0">
        <w:rPr>
          <w:rFonts w:ascii="Arial" w:eastAsia="Times New Roman" w:hAnsi="Arial" w:cs="Arial"/>
          <w:b/>
          <w:bCs/>
          <w:color w:val="000000"/>
          <w:sz w:val="24"/>
          <w:szCs w:val="24"/>
          <w:lang w:eastAsia="nb-NO"/>
        </w:rPr>
        <w:lastRenderedPageBreak/>
        <w:t>§ 22.</w:t>
      </w:r>
      <w:r w:rsidRPr="007840B0">
        <w:rPr>
          <w:rFonts w:ascii="Arial" w:eastAsia="Times New Roman" w:hAnsi="Arial" w:cs="Arial"/>
          <w:color w:val="000000"/>
          <w:sz w:val="24"/>
          <w:szCs w:val="24"/>
          <w:lang w:eastAsia="nb-NO"/>
        </w:rPr>
        <w:t> Blir fuldmagtsgiveren gjort umyndig, faar en retshandel, som fuldmægtigen derefter foretar, ikke anden virkning, end om den umyndiggjorte selv hadde foretat den.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24" w:name="23"/>
      <w:bookmarkEnd w:id="24"/>
      <w:r w:rsidRPr="007840B0">
        <w:rPr>
          <w:rFonts w:ascii="Arial" w:eastAsia="Times New Roman" w:hAnsi="Arial" w:cs="Arial"/>
          <w:b/>
          <w:bCs/>
          <w:color w:val="000000"/>
          <w:sz w:val="24"/>
          <w:szCs w:val="24"/>
          <w:lang w:eastAsia="nb-NO"/>
        </w:rPr>
        <w:t>§ 23.</w:t>
      </w:r>
      <w:r w:rsidRPr="007840B0">
        <w:rPr>
          <w:rFonts w:ascii="Arial" w:eastAsia="Times New Roman" w:hAnsi="Arial" w:cs="Arial"/>
          <w:color w:val="000000"/>
          <w:sz w:val="24"/>
          <w:szCs w:val="24"/>
          <w:lang w:eastAsia="nb-NO"/>
        </w:rPr>
        <w:t> Kommer fullmaktsgiveren under konkurs, blir en rettshandel, som fullmektigen deretter foretar, ikke bindende for boet i større utstrekning enn om den var foretatt av fullmaktsgiveren selv. Er rettshandelen foretatt i henhold til en fullmakt som nevnt i § 18, kan tredjemann likevel ikke gjøre rettshandelen gjeldende overfor boet, dersom fullmektigen kjente eller burde ha kjent til konkursen da han foretok den.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Reglene i første ledd gjelder tilsvarende når det er nedlagt rådighetsforbud overfor fullmaktsgiveren etter § 75 i lov om gjeldsforhandling og konkurs.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8 juni 1984 nr. 60.</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25" w:name="24"/>
      <w:bookmarkEnd w:id="25"/>
      <w:r w:rsidRPr="007840B0">
        <w:rPr>
          <w:rFonts w:ascii="Arial" w:eastAsia="Times New Roman" w:hAnsi="Arial" w:cs="Arial"/>
          <w:b/>
          <w:bCs/>
          <w:color w:val="000000"/>
          <w:sz w:val="24"/>
          <w:szCs w:val="24"/>
          <w:lang w:eastAsia="nb-NO"/>
        </w:rPr>
        <w:t>§ 24.</w:t>
      </w:r>
      <w:r w:rsidRPr="007840B0">
        <w:rPr>
          <w:rFonts w:ascii="Arial" w:eastAsia="Times New Roman" w:hAnsi="Arial" w:cs="Arial"/>
          <w:color w:val="000000"/>
          <w:sz w:val="24"/>
          <w:szCs w:val="24"/>
          <w:lang w:eastAsia="nb-NO"/>
        </w:rPr>
        <w:t> Selv om fullmaktsgiveren er gjort umyndig eller hans bo som dødsbo eller konkursbo er kommet under offentlig skiftebehandling, kan fullmektigen likevel i kraft av fullmakten foreta de rettshandler, som er nødvendige for å beskytte den umyndiggjorte eller boet mot tap, inntil vergen eller bestyrelsen kan vareta deres tarv.</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8 juni 1984 nr. 60, 30 aug 2002 nr. 67 (i kraft 1 jan 2003 iflg. res. 30 aug 2002 nr. 938).</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26" w:name="25"/>
      <w:bookmarkEnd w:id="26"/>
      <w:r w:rsidRPr="007840B0">
        <w:rPr>
          <w:rFonts w:ascii="Arial" w:eastAsia="Times New Roman" w:hAnsi="Arial" w:cs="Arial"/>
          <w:b/>
          <w:bCs/>
          <w:color w:val="000000"/>
          <w:sz w:val="24"/>
          <w:szCs w:val="24"/>
          <w:lang w:eastAsia="nb-NO"/>
        </w:rPr>
        <w:t>§ 25.</w:t>
      </w:r>
      <w:r w:rsidRPr="007840B0">
        <w:rPr>
          <w:rFonts w:ascii="Arial" w:eastAsia="Times New Roman" w:hAnsi="Arial" w:cs="Arial"/>
          <w:color w:val="000000"/>
          <w:sz w:val="24"/>
          <w:szCs w:val="24"/>
          <w:lang w:eastAsia="nb-NO"/>
        </w:rPr>
        <w:t> Den, som optræder som fuldmægtig for en anden, indestaar for, at han har fornøden fuldmagt. Godtgjør han ikke, at han det har, eller at retshandelen senere er blit godkjendt eller av andre grunde er bindende for den, paa hvis vegne den er foretat, skal han erstatte den skade, tredjemand lider ved, at retshandelen ikke kan gjøres gjældende mot den opgivne fuldmagtsgiver.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Denne regel kommer dog ikke til anvendelse, hvis tredjemand forstod eller burde ha forstaat, at den, som har foretat retshandelen, ikke hadde fornøden fuldmagt. Heller ikke kommer den til anvendelse, hvis den, som har foretat retshandelen, handlet i henhold til en fuldmagt, som var ugyldig eller uvirksom av en grund, han var uvidende om, og som tredjemand heller ikke kunde regne paa, at han kjendte til.</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27" w:name="26"/>
      <w:bookmarkEnd w:id="27"/>
      <w:r w:rsidRPr="007840B0">
        <w:rPr>
          <w:rFonts w:ascii="Arial" w:eastAsia="Times New Roman" w:hAnsi="Arial" w:cs="Arial"/>
          <w:b/>
          <w:bCs/>
          <w:color w:val="000000"/>
          <w:sz w:val="24"/>
          <w:szCs w:val="24"/>
          <w:lang w:eastAsia="nb-NO"/>
        </w:rPr>
        <w:t>§ 26.</w:t>
      </w:r>
      <w:r w:rsidRPr="007840B0">
        <w:rPr>
          <w:rFonts w:ascii="Arial" w:eastAsia="Times New Roman" w:hAnsi="Arial" w:cs="Arial"/>
          <w:color w:val="000000"/>
          <w:sz w:val="24"/>
          <w:szCs w:val="24"/>
          <w:lang w:eastAsia="nb-NO"/>
        </w:rPr>
        <w:t> Det, som i dette kapitel er bestemt om fuldmagt til at foreta retshandler, faar tilsvarende anvendelse paa fuldmagt til at optræde for fuldmagtsgiveren ved retshandler, som foretages overfor ham.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28" w:name="27"/>
      <w:bookmarkEnd w:id="28"/>
      <w:r w:rsidRPr="007840B0">
        <w:rPr>
          <w:rFonts w:ascii="Arial" w:eastAsia="Times New Roman" w:hAnsi="Arial" w:cs="Arial"/>
          <w:b/>
          <w:bCs/>
          <w:color w:val="000000"/>
          <w:sz w:val="24"/>
          <w:szCs w:val="24"/>
          <w:lang w:eastAsia="nb-NO"/>
        </w:rPr>
        <w:t>§ 27.</w:t>
      </w:r>
      <w:r w:rsidRPr="007840B0">
        <w:rPr>
          <w:rFonts w:ascii="Arial" w:eastAsia="Times New Roman" w:hAnsi="Arial" w:cs="Arial"/>
          <w:color w:val="000000"/>
          <w:sz w:val="24"/>
          <w:szCs w:val="24"/>
          <w:lang w:eastAsia="nb-NO"/>
        </w:rPr>
        <w:t> Om tilbakekaldelse av prokura, som er anmeldt til Foretaksregisteret gjelder lov om registrering av foretak § 4-1 annet ledd og § 10-1 første ledd. Er tilbakekaldelsen registrert og kundgjort paa lovbefalt maate, behøver fuldmagtsgiveren ikke at kalde fuldmagten tilbake ogsaa paa andet vis.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21 juni 1985 nr. 78.</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29" w:name="map003"/>
      <w:bookmarkEnd w:id="29"/>
      <w:r w:rsidRPr="007840B0">
        <w:rPr>
          <w:rFonts w:ascii="Arial" w:eastAsia="Times New Roman" w:hAnsi="Arial" w:cs="Arial"/>
          <w:b/>
          <w:bCs/>
          <w:color w:val="CC052B"/>
          <w:sz w:val="24"/>
          <w:szCs w:val="24"/>
          <w:lang w:eastAsia="nb-NO"/>
        </w:rPr>
        <w:t>3dje kapitel. Om ugyldige viljeserklæringer.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30" w:name="28"/>
      <w:bookmarkEnd w:id="30"/>
      <w:r w:rsidRPr="007840B0">
        <w:rPr>
          <w:rFonts w:ascii="Arial" w:eastAsia="Times New Roman" w:hAnsi="Arial" w:cs="Arial"/>
          <w:b/>
          <w:bCs/>
          <w:color w:val="000000"/>
          <w:sz w:val="24"/>
          <w:szCs w:val="24"/>
          <w:lang w:eastAsia="nb-NO"/>
        </w:rPr>
        <w:t>§ 28.</w:t>
      </w:r>
      <w:r w:rsidRPr="007840B0">
        <w:rPr>
          <w:rFonts w:ascii="Arial" w:eastAsia="Times New Roman" w:hAnsi="Arial" w:cs="Arial"/>
          <w:color w:val="000000"/>
          <w:sz w:val="24"/>
          <w:szCs w:val="24"/>
          <w:lang w:eastAsia="nb-NO"/>
        </w:rPr>
        <w:t> Er en viljeserklæring retsstridig fremtvunget ved vold mot person eller ved trusler, som fremkalder grundet frygt for nogens liv eller helbred, binder den ikke den, som har avgit den.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Er det tredjemand, som har fremtvunget viljeserklæringen, og var den anden part i god tro, maa den tvungne, hvis han vil paaberope tvangen, gi ham meddelelse om det uten ugrundet ophold, efterat tvangen er forbi. Ellers er han bundet ved erklæringen.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31" w:name="29"/>
      <w:bookmarkEnd w:id="31"/>
      <w:r w:rsidRPr="007840B0">
        <w:rPr>
          <w:rFonts w:ascii="Arial" w:eastAsia="Times New Roman" w:hAnsi="Arial" w:cs="Arial"/>
          <w:b/>
          <w:bCs/>
          <w:color w:val="000000"/>
          <w:sz w:val="24"/>
          <w:szCs w:val="24"/>
          <w:lang w:eastAsia="nb-NO"/>
        </w:rPr>
        <w:lastRenderedPageBreak/>
        <w:t>§ 29.</w:t>
      </w:r>
      <w:r w:rsidRPr="007840B0">
        <w:rPr>
          <w:rFonts w:ascii="Arial" w:eastAsia="Times New Roman" w:hAnsi="Arial" w:cs="Arial"/>
          <w:color w:val="000000"/>
          <w:sz w:val="24"/>
          <w:szCs w:val="24"/>
          <w:lang w:eastAsia="nb-NO"/>
        </w:rPr>
        <w:t> Er en viljeserklæring retsstridig fremkaldt ved anden tvang end den, som er nævnt i § 28, binder den ikke den, som har avgit den, dersom den anden part enten selv har utøvet tvangen eller kjendte til eller burde ha kjendt til, at viljeserklæringen retsstridig var fremtvunget av en tredjemand.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32" w:name="30"/>
      <w:bookmarkEnd w:id="32"/>
      <w:r w:rsidRPr="007840B0">
        <w:rPr>
          <w:rFonts w:ascii="Arial" w:eastAsia="Times New Roman" w:hAnsi="Arial" w:cs="Arial"/>
          <w:b/>
          <w:bCs/>
          <w:color w:val="000000"/>
          <w:sz w:val="24"/>
          <w:szCs w:val="24"/>
          <w:lang w:eastAsia="nb-NO"/>
        </w:rPr>
        <w:t>§ 30.</w:t>
      </w:r>
      <w:r w:rsidRPr="007840B0">
        <w:rPr>
          <w:rFonts w:ascii="Arial" w:eastAsia="Times New Roman" w:hAnsi="Arial" w:cs="Arial"/>
          <w:color w:val="000000"/>
          <w:sz w:val="24"/>
          <w:szCs w:val="24"/>
          <w:lang w:eastAsia="nb-NO"/>
        </w:rPr>
        <w:t> Er en viljeserklæring fremkaldt ved svik fra den anden part, binder den ikke den som har avgit den. Det samme gjælder, hvis tredjemand har fremkaldt den ved svik, og den anden part kjendte eller burde ha kjendt forholdet.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Har den anden part svikagtig git urigtige oplysninger om omstændigheter, som kan antages at ha hat betydning for viljeserklæringen, eller har han svikagtig fortiet saadanne omstændigheter, ansees han for at ha fremkaldt erklæringen derved, hvis ikke det motsatte godtgjøres.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33" w:name="31"/>
      <w:bookmarkEnd w:id="33"/>
      <w:r w:rsidRPr="007840B0">
        <w:rPr>
          <w:rFonts w:ascii="Arial" w:eastAsia="Times New Roman" w:hAnsi="Arial" w:cs="Arial"/>
          <w:b/>
          <w:bCs/>
          <w:color w:val="000000"/>
          <w:sz w:val="24"/>
          <w:szCs w:val="24"/>
          <w:lang w:eastAsia="nb-NO"/>
        </w:rPr>
        <w:t>§ 31.</w:t>
      </w:r>
      <w:r w:rsidRPr="007840B0">
        <w:rPr>
          <w:rFonts w:ascii="Arial" w:eastAsia="Times New Roman" w:hAnsi="Arial" w:cs="Arial"/>
          <w:color w:val="000000"/>
          <w:sz w:val="24"/>
          <w:szCs w:val="24"/>
          <w:lang w:eastAsia="nb-NO"/>
        </w:rPr>
        <w:t> Har nogen utnyttet en andens nødstilstand, letsind, forstandssvakhet, uerfarenhet eller det avhængighetsforhold, som denne staar i til ham, til at opnaa eller betinge fordele, som der ikke skal ydes vederlag for, eller som staar i aapenbart misforhold til vederlaget, blir den anden part ikke bundet ved sin viljeserklæring.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samme gjælder, hvis det er tredjemand, som har gjort sig skyldig i saadant forhold, og mottageren av viljeserklæringen kjendte eller burde ha kjendt forholdet.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Fragaaes retshandelen, er saavel den krænkede part som den anden pligtig at tilbakegi det av ham mottagne eller dettes værdi tillikemed – hvor retshandelen angaar pengelaan – lovlig rente fra mottagelsestiden. De samme regler kommer til anvendelse overfor den tredjemand, til hvem det mottagne er overdrat, og som kjendte eller burde kjendt forholdet.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24 juni 1994 nr. 39.</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34" w:name="32"/>
      <w:bookmarkEnd w:id="34"/>
      <w:r w:rsidRPr="007840B0">
        <w:rPr>
          <w:rFonts w:ascii="Arial" w:eastAsia="Times New Roman" w:hAnsi="Arial" w:cs="Arial"/>
          <w:b/>
          <w:bCs/>
          <w:color w:val="000000"/>
          <w:sz w:val="24"/>
          <w:szCs w:val="24"/>
          <w:lang w:eastAsia="nb-NO"/>
        </w:rPr>
        <w:t>§ 32.</w:t>
      </w:r>
      <w:r w:rsidRPr="007840B0">
        <w:rPr>
          <w:rFonts w:ascii="Arial" w:eastAsia="Times New Roman" w:hAnsi="Arial" w:cs="Arial"/>
          <w:color w:val="000000"/>
          <w:sz w:val="24"/>
          <w:szCs w:val="24"/>
          <w:lang w:eastAsia="nb-NO"/>
        </w:rPr>
        <w:t> Den, der har avgit en viljeserklæring, som ved feilskrift eller anden lignende feiltagelse fra hans side har faat et andet indhold end tilsigtet, er ikke bundet ved erklæringens indhold, hvis den, til hvem erklæringen er avgit, indsaa eller burde indse, at der forelaa en feiltagelse.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Er en viljeserklæring forvansket ved feiltelegrafering, blir den, som har avgit den, ikke bundet ved erklæringen i den skikkelse, den er kommet frem.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samme gjælder, hvis en mundtlig viljeserklæring, som sendes ved bud, blir bragt frem i forvansket skikkelse.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Er forvanskningen foranlediget ved skyld fra avsenderens side, pligter han at erstatte mottageren det ved feilen forvoldte tap.</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Er avsenderen blit vitende om forvanskningen, og vil han paaberope den, skal han uten ugrundet ophold gi den anden part meddelelse om det. Gir han ikke slik meddelelse, gjælder erklæringen som den er kommet frem, hvis ikke den anden part kjendte eller burde ha kjendt forvanskningen.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35" w:name="33"/>
      <w:bookmarkEnd w:id="35"/>
      <w:r w:rsidRPr="007840B0">
        <w:rPr>
          <w:rFonts w:ascii="Arial" w:eastAsia="Times New Roman" w:hAnsi="Arial" w:cs="Arial"/>
          <w:b/>
          <w:bCs/>
          <w:color w:val="000000"/>
          <w:sz w:val="24"/>
          <w:szCs w:val="24"/>
          <w:lang w:eastAsia="nb-NO"/>
        </w:rPr>
        <w:t>§ 33.</w:t>
      </w:r>
      <w:r w:rsidRPr="007840B0">
        <w:rPr>
          <w:rFonts w:ascii="Arial" w:eastAsia="Times New Roman" w:hAnsi="Arial" w:cs="Arial"/>
          <w:color w:val="000000"/>
          <w:sz w:val="24"/>
          <w:szCs w:val="24"/>
          <w:lang w:eastAsia="nb-NO"/>
        </w:rPr>
        <w:t> Selv om en viljeserklæring ellers maatte ansees for gyldig, binder den ikke den, som har avgit den, hvis det paa grund av omstændigheter, som forelaa, da den anden part fik kundskap om erklæringen, og som det maa antages, at han kjendte til, vilde stride mot redelighet eller god tro, om han gjorde erklæringen gjældende.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36" w:name="34"/>
      <w:bookmarkEnd w:id="36"/>
      <w:r w:rsidRPr="007840B0">
        <w:rPr>
          <w:rFonts w:ascii="Arial" w:eastAsia="Times New Roman" w:hAnsi="Arial" w:cs="Arial"/>
          <w:b/>
          <w:bCs/>
          <w:color w:val="000000"/>
          <w:sz w:val="24"/>
          <w:szCs w:val="24"/>
          <w:lang w:eastAsia="nb-NO"/>
        </w:rPr>
        <w:lastRenderedPageBreak/>
        <w:t>§ 34.</w:t>
      </w:r>
      <w:r w:rsidRPr="007840B0">
        <w:rPr>
          <w:rFonts w:ascii="Arial" w:eastAsia="Times New Roman" w:hAnsi="Arial" w:cs="Arial"/>
          <w:color w:val="000000"/>
          <w:sz w:val="24"/>
          <w:szCs w:val="24"/>
          <w:lang w:eastAsia="nb-NO"/>
        </w:rPr>
        <w:t> Er en skriftlig viljeserklæring avgit paa skrømt, og har mottageren overdrat ret efter den til en tredjemand, som var i god tro, kan det ikke overfor ham gjøres gjældende, at erklæringen var skrømtet.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37" w:name="35"/>
      <w:bookmarkEnd w:id="37"/>
      <w:r w:rsidRPr="007840B0">
        <w:rPr>
          <w:rFonts w:ascii="Arial" w:eastAsia="Times New Roman" w:hAnsi="Arial" w:cs="Arial"/>
          <w:b/>
          <w:bCs/>
          <w:color w:val="000000"/>
          <w:sz w:val="24"/>
          <w:szCs w:val="24"/>
          <w:lang w:eastAsia="nb-NO"/>
        </w:rPr>
        <w:t>§ 35.</w:t>
      </w:r>
      <w:r w:rsidRPr="007840B0">
        <w:rPr>
          <w:rFonts w:ascii="Arial" w:eastAsia="Times New Roman" w:hAnsi="Arial" w:cs="Arial"/>
          <w:color w:val="000000"/>
          <w:sz w:val="24"/>
          <w:szCs w:val="24"/>
          <w:lang w:eastAsia="nb-NO"/>
        </w:rPr>
        <w:t> Er kvittering for et pengebeløp frakommet fordringshaveren uten hans vilje, blir skyldneren allikevel fri, hvis han i god tro, og efterat fordringen er forfaldt, betaler pengene mot utlevering av kvitteringen.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38" w:name="36"/>
      <w:bookmarkEnd w:id="38"/>
      <w:r w:rsidRPr="007840B0">
        <w:rPr>
          <w:rFonts w:ascii="Arial" w:eastAsia="Times New Roman" w:hAnsi="Arial" w:cs="Arial"/>
          <w:b/>
          <w:bCs/>
          <w:color w:val="000000"/>
          <w:sz w:val="24"/>
          <w:szCs w:val="24"/>
          <w:lang w:eastAsia="nb-NO"/>
        </w:rPr>
        <w:t>§ 36.</w:t>
      </w:r>
      <w:r w:rsidRPr="007840B0">
        <w:rPr>
          <w:rFonts w:ascii="Arial" w:eastAsia="Times New Roman" w:hAnsi="Arial" w:cs="Arial"/>
          <w:color w:val="000000"/>
          <w:sz w:val="24"/>
          <w:szCs w:val="24"/>
          <w:lang w:eastAsia="nb-NO"/>
        </w:rPr>
        <w:t> En avtale kan helt eller delvis settes til side eller endres for så vidt det ville virke urimelig eller være i strid med god forretningsskikk å gjøre den gjeldende. Det samme gjelder ensidig bindende disposisjoner.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Ved avgjørelsen tas hensyn ikke bare til avtalens innhold, partenes stilling og forholdene ved avtalens inngåelse, men også til senere inntrådte forhold og omstendighetene for øvrig.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Reglene i første og annet ledd gjelder tilsvarende når det ville virke urimelig å gjøre gjeldende handelsbruk eller annen kontraktrettslig sedvane.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4 mars 1983 nr. 4.</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39" w:name="37"/>
      <w:bookmarkEnd w:id="39"/>
      <w:r w:rsidRPr="007840B0">
        <w:rPr>
          <w:rFonts w:ascii="Arial" w:eastAsia="Times New Roman" w:hAnsi="Arial" w:cs="Arial"/>
          <w:b/>
          <w:bCs/>
          <w:color w:val="000000"/>
          <w:sz w:val="24"/>
          <w:szCs w:val="24"/>
          <w:lang w:eastAsia="nb-NO"/>
        </w:rPr>
        <w:t>§ 37.</w:t>
      </w:r>
      <w:r w:rsidRPr="007840B0">
        <w:rPr>
          <w:rFonts w:ascii="Arial" w:eastAsia="Times New Roman" w:hAnsi="Arial" w:cs="Arial"/>
          <w:color w:val="000000"/>
          <w:sz w:val="24"/>
          <w:szCs w:val="24"/>
          <w:lang w:eastAsia="nb-NO"/>
        </w:rPr>
        <w:t> For vilkår som ikke er individuelt forhandlet, og som inngår i en avtale mellom en forbruker og en næringsdrivende, gjelder følgende: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1.</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Ved anvendelse av § 36 skal det tas hensyn til forhold som nevnt i § 36 annet ledd. Senere inntrådte forhold skal likevel ikke tillegges betydning til skade for forbrukeren med den virkning at et avtalevilkår som ellers ville anses som urimelig, blir ansett som rimelig.</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2.</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Hvis ett eller flere avtalevilkår medfører en betydelig skjevhet til skade for forbrukeren i de rettigheter og plikter partene har etter avtalen, kan forbrukeren ved anvendelse av § 36 kreve at avtalen for øvrig skal være bindende for partene, dersom den kan bestå med uforandret innhold.</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3.</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Ved tvil om tolkningen av et avtalevilkår, skal vilkåret tolkes til fordel for forbrukeren.</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4.</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En næringsdrivende som hevder at et avtalevilkår er individuelt forhandlet, må godtgjøre dette.</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       Med forbruker menes i denne bestemmelsen enhver fysisk person som ikke hovedsakelig handler som ledd i næringsvirksomhet.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Inneholder en avtale som har nær tilknytning til EØS-landenes territorium, en bestemmelse om at lovgivningen i et land utenfor dette området skal anvendes på avtalen, gjelder bestemmelsen ikke for spørsmål om urimelige avtalevilkår mellom en forbruker og en næringsdrivende, hvis forbrukeren ved dette får en dårligere beskyttelse mot slike vilkår.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Opphevet ved lov 4 mars 1983 nr. 4, tilføyd igjen (med nytt innhold) ved lov 6 jan 1995 nr. 1 (i kraft 1 jan 1995 med virkning for avtaler inngått etter ikrafttredelsen).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40" w:name="38"/>
      <w:bookmarkEnd w:id="40"/>
      <w:r w:rsidRPr="007840B0">
        <w:rPr>
          <w:rFonts w:ascii="Arial" w:eastAsia="Times New Roman" w:hAnsi="Arial" w:cs="Arial"/>
          <w:b/>
          <w:bCs/>
          <w:color w:val="000000"/>
          <w:sz w:val="24"/>
          <w:szCs w:val="24"/>
          <w:lang w:eastAsia="nb-NO"/>
        </w:rPr>
        <w:t>§ 38.</w:t>
      </w:r>
      <w:r w:rsidRPr="007840B0">
        <w:rPr>
          <w:rFonts w:ascii="Arial" w:eastAsia="Times New Roman" w:hAnsi="Arial" w:cs="Arial"/>
          <w:color w:val="000000"/>
          <w:sz w:val="24"/>
          <w:szCs w:val="24"/>
          <w:lang w:eastAsia="nb-NO"/>
        </w:rPr>
        <w:t> Har nogen gaat ind paa, at han av konkurransehensyn ikke skal ta plads i eller drive forretning eller virksomhet av en viss art, binder vedtagelsen ham ikke, forsaavidt den urimelig indskrænker hans adgang til erhverv eller maa anses for at strække sig længer end paakrævet for at verne mot konkurranse. Ved avgjørelsen av, om vedtagelsen urimelig indskrænker den forpligtedes adgang til erhverv, skal hensyn tages ogsaa til den betydning, det har for den anden part, at avtalen opretholdes.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       Er avtalen indgaat mellem indehaveren av en bedrift og nogen, som er ansat i bedriften som lærling, kontorist, betjent, arbeider eller i lignende underordnet stilling og gjælder den en viss tid, efterat ansættelsen er ophørt, er forpligtelsen ikke bindende for den underordnede. Er ansættelsen av den art, at den gir den ansatte indblik i indehaverens kundekreds eller forretningshemmeligheter, og han derhos kunde benytte dette indblik til i betydelig grad at skade indehaveren, skal forpligtelsen dog være bindende for den underordnede, forsaavidt ikke dette i urimelig grad vil vanskeliggjøre hans adgang til erhverv eller strækker sig længer end paakrævet for at verne mot konkurranse.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Har nogen, som er ansat i anden stilling i en bedrift, paatat sig slik forpligtelse, gjælder den ikke, hvis indehaveren siger ham op, uten at han har git rimelig grund til det, eller hvis han selv fratræder, og indehaveren har git ham rimelig grund til det ved at undlate at opfylde sine forpligtelser.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4 mars 1983 nr. 4.</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41" w:name="map004"/>
      <w:bookmarkEnd w:id="41"/>
      <w:r w:rsidRPr="007840B0">
        <w:rPr>
          <w:rFonts w:ascii="Arial" w:eastAsia="Times New Roman" w:hAnsi="Arial" w:cs="Arial"/>
          <w:b/>
          <w:bCs/>
          <w:color w:val="CC052B"/>
          <w:sz w:val="24"/>
          <w:szCs w:val="24"/>
          <w:lang w:eastAsia="nb-NO"/>
        </w:rPr>
        <w:t>4de kapitel. Slutningsbestemmelser.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42" w:name="39"/>
      <w:bookmarkEnd w:id="42"/>
      <w:r w:rsidRPr="007840B0">
        <w:rPr>
          <w:rFonts w:ascii="Arial" w:eastAsia="Times New Roman" w:hAnsi="Arial" w:cs="Arial"/>
          <w:b/>
          <w:bCs/>
          <w:color w:val="000000"/>
          <w:sz w:val="24"/>
          <w:szCs w:val="24"/>
          <w:lang w:eastAsia="nb-NO"/>
        </w:rPr>
        <w:t>§ 39.</w:t>
      </w:r>
      <w:r w:rsidRPr="007840B0">
        <w:rPr>
          <w:rFonts w:ascii="Arial" w:eastAsia="Times New Roman" w:hAnsi="Arial" w:cs="Arial"/>
          <w:color w:val="000000"/>
          <w:sz w:val="24"/>
          <w:szCs w:val="24"/>
          <w:lang w:eastAsia="nb-NO"/>
        </w:rPr>
        <w:t> Naar efter denne lov en viljeserklærings forbindende kraft er betinget av, at den anden part ikke kjendte eller burde ha kjendt et bestemt forhold eller forøvrig var i god tro, kommer det an paa det tidspunkt, da viljeserklæringen kom til hans kundskap. Dog kan, hvis særlige grunde tilsiger det, hensyn tages til, at han efter dette tidspunkt, men før han endnu har indrettet sig efter viljeserklæringen, har faat eller burde ha faat kjendskap til forholdet.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43" w:name="40"/>
      <w:bookmarkEnd w:id="43"/>
      <w:r w:rsidRPr="007840B0">
        <w:rPr>
          <w:rFonts w:ascii="Arial" w:eastAsia="Times New Roman" w:hAnsi="Arial" w:cs="Arial"/>
          <w:b/>
          <w:bCs/>
          <w:color w:val="000000"/>
          <w:sz w:val="24"/>
          <w:szCs w:val="24"/>
          <w:lang w:eastAsia="nb-NO"/>
        </w:rPr>
        <w:t>§ 40.</w:t>
      </w:r>
      <w:r w:rsidRPr="007840B0">
        <w:rPr>
          <w:rFonts w:ascii="Arial" w:eastAsia="Times New Roman" w:hAnsi="Arial" w:cs="Arial"/>
          <w:color w:val="000000"/>
          <w:sz w:val="24"/>
          <w:szCs w:val="24"/>
          <w:lang w:eastAsia="nb-NO"/>
        </w:rPr>
        <w:t> Naar nogen, som efter denne lov skal « gi meddelelse », har indlevert meddelelsen til befordring med telegraf eller post eller avsendt den paa anden forsvarlig maate, gaar det ikke ut over ham, om meddelelsen forsinkes eller ikke kommer frem.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44" w:name="41"/>
      <w:bookmarkEnd w:id="44"/>
      <w:r w:rsidRPr="007840B0">
        <w:rPr>
          <w:rFonts w:ascii="Arial" w:eastAsia="Times New Roman" w:hAnsi="Arial" w:cs="Arial"/>
          <w:b/>
          <w:bCs/>
          <w:color w:val="000000"/>
          <w:sz w:val="24"/>
          <w:szCs w:val="24"/>
          <w:lang w:eastAsia="nb-NO"/>
        </w:rPr>
        <w:t>§ 41.</w:t>
      </w:r>
      <w:r w:rsidRPr="007840B0">
        <w:rPr>
          <w:rFonts w:ascii="Arial" w:eastAsia="Times New Roman" w:hAnsi="Arial" w:cs="Arial"/>
          <w:color w:val="000000"/>
          <w:sz w:val="24"/>
          <w:szCs w:val="24"/>
          <w:lang w:eastAsia="nb-NO"/>
        </w:rPr>
        <w:t> Denne lov gjælder bare paa formuerettens omraade.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Ved denne lov ophæves – – –</w:t>
      </w:r>
    </w:p>
    <w:p w:rsidR="00C176CA" w:rsidRDefault="00C176CA"/>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Pr="007840B0" w:rsidRDefault="007840B0" w:rsidP="007840B0">
      <w:pPr>
        <w:pStyle w:val="ListParagraph"/>
        <w:numPr>
          <w:ilvl w:val="0"/>
          <w:numId w:val="1"/>
        </w:numPr>
        <w:spacing w:before="100" w:beforeAutospacing="1" w:after="100" w:afterAutospacing="1" w:line="240" w:lineRule="auto"/>
        <w:jc w:val="center"/>
        <w:outlineLvl w:val="2"/>
        <w:rPr>
          <w:rFonts w:ascii="Arial" w:eastAsia="Times New Roman" w:hAnsi="Arial" w:cs="Arial"/>
          <w:b/>
          <w:bCs/>
          <w:color w:val="CC052B"/>
          <w:sz w:val="144"/>
          <w:szCs w:val="144"/>
          <w:lang w:eastAsia="nb-NO"/>
        </w:rPr>
      </w:pPr>
      <w:r w:rsidRPr="007840B0">
        <w:rPr>
          <w:rFonts w:ascii="Arial" w:eastAsia="Times New Roman" w:hAnsi="Arial" w:cs="Arial"/>
          <w:b/>
          <w:bCs/>
          <w:color w:val="CC052B"/>
          <w:sz w:val="144"/>
          <w:szCs w:val="144"/>
          <w:lang w:eastAsia="nb-NO"/>
        </w:rPr>
        <w:t>Ny Lov -</w:t>
      </w: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r w:rsidRPr="007840B0">
        <w:rPr>
          <w:rFonts w:ascii="Arial" w:eastAsia="Times New Roman" w:hAnsi="Arial" w:cs="Arial"/>
          <w:b/>
          <w:bCs/>
          <w:color w:val="CC052B"/>
          <w:sz w:val="24"/>
          <w:szCs w:val="24"/>
          <w:lang w:eastAsia="nb-NO"/>
        </w:rPr>
        <w:lastRenderedPageBreak/>
        <w:t>Lov om behandlingsmåten i forvaltningssaker (forvaltningsloven).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Jfr. lover 19 juni 1969 nr. 54 (ikrafttredelse m v), lov 19 mai 2006 nr. 16 (offentleglova).</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r w:rsidRPr="007840B0">
        <w:rPr>
          <w:rFonts w:ascii="Arial" w:eastAsia="Times New Roman" w:hAnsi="Arial" w:cs="Arial"/>
          <w:b/>
          <w:bCs/>
          <w:color w:val="CC052B"/>
          <w:sz w:val="24"/>
          <w:szCs w:val="24"/>
          <w:lang w:eastAsia="nb-NO"/>
        </w:rPr>
        <w:t>Kapittel I. Lovens område. Definisjoner.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(lovens generelle virkeområde).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Loven gjelder den virksomhet som drives av forvaltningsorganer når ikke annet er bestemt i eller i medhold av lov. Som forvaltningsorgan reknes i denne lov et hvert organ for stat eller kommune. Privat rettssubjekt regnes som forvaltningsorgan i saker hvor det treffer enkeltvedtak eller utferdiger forskrift.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27 mai 1977 nr. 40, 12 jan 1995 nr. 4 (i kraft 1 april 1995).</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(definisjoner).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I denne lov menes med:</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vedtak, en avgjørelse som treffes under utøving av offentlig myndighet og som generelt eller konkret er bestemmende for rettigheter eller plikter til private personer (enkeltpersoner eller andre private rettssubjekter);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enkeltvedtak, et vedtak som gjelder rettigheter eller plikter til en eller flere bestemte personer;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forskrift, et vedtak som gjelder rettigheter eller plikter til et ubestemt antall eller en ubestemt krets av personer;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offentlig tjenestemann, en embetsmann eller annen som er ansatt i statens eller en kommunes tjeneste;</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e)</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part, person som en avgjørelse retter seg mot eller som saken ellers direkte gjelder.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f)</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dokument: en logisk avgrenset informasjonsmengde som er lagret på et medium for senere lesing, lytting, framføring, overføring eller lignende.</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g)</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skriftlig: også elektronisk melding når informasjonen i denne er tilgjengelig også for ettertiden;</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h)</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nedtegning, nedskriving og protokollering: også elektronisk nedtegning når dette oppfyller hensynene bak nedtegningen i like stor grad som nedtegning på papir.</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       Avgjørelse som gjelder ansettelse, oppsigelse, suspensjon, avskjed eller forflytting av offentlig tjenestemann, regnes som enkeltvedtak. Det samme gjelder vedtak om å ilegge offentlig tjenestemann ordensstraff eller tilstå ham pensjon. Kongen kan bestemme hva som i tvilstilfelle skal regnes som enkeltvedtak etter dette ledd, eller at andre saker om offentlige tjenesteforhold skal regnes som enkeltvedtak.</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Som enkeltvedtak reknes også avgjørelser som gjelder avvising av en sak eller bruk av særlige tvangsmidler for å få gjennomført et vedtak.</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Et forvaltningsorgan likestilles med privat rettssubjekt ved anvendelse av første ledd dersom organet har samme interesse eller stilling i saken som private parter kan ha.</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19 juni 1969 nr. 54, 27 mai 1977 nr. 40, 15 des 2000 nr. 98 (i kraft 1 april 2001 iflg. res. 2 mars 2001 nr. 179), 21 des 2001 nr. 117 (i kraft 1 jan 2002 iflg. res. 21 des 2001 nr. 1475), 19 mai 2006 nr. 16 (i kraft 1 jan 2009 iflg. res. 17 okt 2008 nr. 1118).</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lastRenderedPageBreak/>
        <w:t>§ 3.</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(rekkevidden av visse bestemmelser i loven).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Bestemmelsene i kapitlene IV-VI får bare anvendelse i saker som gjelder enkeltvedtak, og bestemmelsene i kapittel VII bare i saker som gjelder forskrifter.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Når det gjelder enkeltvedtak som nevnt i § 2, annet ledd, kan Kongen fastsette at kapitlene IV-VI helt eller delvis ikke skal gjelde i nærmere angitte saker eller for visse tjenestemenn. Vedtak i ansettelsessaker er i alle tilfelle unntatt fra reglene om begrunnelse i §§ 24-25, reglene om klage i §§ 28-34 og reglene om omgjøring i § 35 tredje ledd, om ikke vedkommende forvaltningsorgan bestemmer noe annet. Vedtak om oppsigelse eller avskjed som treffes av et kommunalt eller fylkeskommunalt organ, er unntatt fra reglene om klage i §§ 28-34.</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19 juni 1969 nr. 54, 27 mai 1977 nr. 40, 6 jan 1995 nr. 2 (i kraft 1 feb 1995), 12 jan 1995 nr. 4 (i kraft 1 april 1995).</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4.</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(unntak for visse offentlige institusjoner og for visse saker, m. 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Med mindre annet er særskilt bestemt, gjelder loven ikke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domstolenes virksomhet, derunder registrerings- og notarialforretninger og lignende som utføres ved et dommerkontor,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saker som forvaltningsorganet selv behandler eller avgjør i medhold av rettspleielovene (straffeprosesslovene, domstolloven, tvisteloven, voldgiftsloven, tvangsfullbyrdelsesloven, skjønnsloven ) eller lover som knytter seg til disse lovene (konkursloven, skifteloven og gjeldsordningsloven ), eller jordskifteloven eller rettsgebyrloven.</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       Når et vedtak som omfattes av første ledd kan påklages til departementet, gjelder loven likevel for departementets behandling av klagesaken.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Loven gjelder for Svalbard for så vidt ikke annet fastsettes av Kongen.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Loven gjelder ikke for Stortinget, Riksrevisjonen, Stortingets ombudsmann for forvaltningen og andre organer for Stortinget.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19 juni 1969 nr. 54, 12 des 1975 nr. 59, 27 mai 1977 nr. 40, 17 juli 1992 nr. 99, 12 jan 1995 nr. 4 (i kraft 1 april 1995), 17 juni 2005 nr. 90 (i kraft 1 jan 2008 iflg. res. 26 jan 2007 nr. 88) som endret ved lov 26 jan 2007 nr. 3.</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5.</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(adgang for Kongen til å gi visse bestemmelser om lovens rekkevidde).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Kongen kan i tvilstilfelle bestemme hvordan definisjonene i § 2 første ledd skal anvendes innenfor et bestemt saksområde. Han kan i tvilstilfelle også fastsette hva som skal reknes som forvaltningsorgan ved anvendelse av loven, og hva som skal reknes for domstol. Han kan fastsette at lovens regler om enkeltvedtak eller forskrifter helt eller delvis skal gjelde for avgjørelser som ikke er vedtak etter § 2.</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Når riket er i krig eller krig truer eller rikets selvstendighet eller sikkerhet er i fare, kan Kongen fastsette at denne lov eller andre bestemmelser om saksbehandlingen helt eller delvis ikke skal gjelde. Lov av 15 desember 1950 nr. 7 §§ 3 og 4 gjelder tilsvarende.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19 juni 1969 nr. 54, 27 mai 1977 nr. 40.</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r w:rsidRPr="007840B0">
        <w:rPr>
          <w:rFonts w:ascii="Arial" w:eastAsia="Times New Roman" w:hAnsi="Arial" w:cs="Arial"/>
          <w:b/>
          <w:bCs/>
          <w:color w:val="CC052B"/>
          <w:sz w:val="24"/>
          <w:szCs w:val="24"/>
          <w:lang w:eastAsia="nb-NO"/>
        </w:rPr>
        <w:t>Kapittel II. Om ugildhet.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Overskriften endret ved lov 27 mai 1977 nr. 40.</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lastRenderedPageBreak/>
        <w:t>§ 6.</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(habilitetskrav).</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En offentlig tjenestemann er ugild til å tilrettelegge grunnlaget for en avgjørelse eller til å treffe avgjørelse i en forvaltningssak</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når han selv er part i saken;</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når han er i slekt eller svogerskap med en part i opp- eller nedstigende linje eller i sidelinje så nær som søsken;</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når han er eller har vært gift med eller er forlovet med eller er fosterfar, fostermor eller fosterbarn til en part;</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når han er verge eller fullmektig for en part i saken eller har vært verge eller fullmektig for en part etter at saken begynte;</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e)</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når han leder eller har ledende stilling i, eller er medlem av styret eller bedriftsforsamling for, et selskap som er part i saken og ikke helt ut eies av stat eller kommune, et samvirkeforetak, eller en forening, sparebank eller stiftelse som er part i saken.</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       Likeså er han ugild når andre særegne forhold foreligger som er egnet til å svekke tilliten til hans upartiskhet; blant annet skal legges vekt på om avgjørelsen i saken kan innebære særlig fordel, tap eller ulempe for ham selv eller noen som han har nær personlig tilknytning til. Det skal også legges vekt på om ugildhetsinnsigelse er reist av en part.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Er den overordnede tjenestemann ugild, kan avgjørelse i saken heller ikke treffes av en direkte underordnet tjenestemann i samme forvaltningsorgan.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Ugildhetsreglene får ikke anvendelse dersom det er åpenbart at tjenestemannens tilknytning til saken eller partene ikke vil kunne påvirke hans standpunkt og verken offentlige eller private interesser tilsier at han viker sete.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Rekkevidden av annet og fjerde ledd kan fastlegges nærmere ved forskrifter som gis av Kongen.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19 juni 1969 nr. 54, 27 mai 1977 nr. 40, 29 juni 2007 nr. 81 (i kraft 1 jan 2008 iflg. res. 23 nov 2007 nr. 1287). Endres ved lov 19 juni 2009 nr. 90 (i kraft 1 nov 2011 iflg. res. 19 juni 2009 nr. 819).</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7.</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(foreløpig avgjørelse).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Uansett om en tjenestemann er ugild, kan han behandle eller treffe foreløpig avgjørelse i en sak dersom utsettelse ikke kan skje uten vesentlig ulempe eller skadevirkning.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8.</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(avgjørelse av habilitetsspørsmålet).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Tjenestemannen avgjør selv om han er ugild. Dersom en part krever det og det kan gjøres uten vesentlig tidsspille, eller tjenestemannen ellers selv finner grunn til det, skal han forelegge spørsmålet for sin nærmeste overordnede til avgjørelse.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I kollegiale organ treffes avgjørelsen av organet selv, uten at vedkommende medlem deltar. Dersom det i en og samme sak oppstår spørsmål om ugildhet for flere medlemmer, kan ingen av dem delta ved avgjørelsen av sin egen eller et annet medlems habilitet, med mindre organet ellers ikke ville være vedtaksført i spørsmålet. I sistnevnte tilfelle skal alle møtende medlemmer delta.</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       Medlem skal i god tid si fra om forhold som gjør eller kan gjøre ham ugild. Før spørsmålet avgjøres, bør varamann eller annen stedfortreder innkalles til å møte og delta ved avgjørelsen dersom det kan gjøres uten vesentlig tidsspille eller kostnad.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27 mai 1977 nr. 40.</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9.</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(oppnevning av stedfortreder).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Når en tjenestemann er ugild, skal om nødvendig oppnevnes eller velges stedfortreder for vedkommende.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Dersom det er forbundet med særlig ulempe å få oppnevnt stedfortreder, kan Kongen for det enkelte tilfelle beslutte at saken skal overføres til sideordnet eller overordnet forvaltningsorgan.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19 juni 1969 nr. 54.</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10.</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(hvem habilitetsbestemmelsene gjelder for).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Foruten for offentlige tjenestemenn gjelder bestemmelsene i kapitlet her tilsvarende for enhver annen som utfører tjeneste eller arbeid for et forvaltningsorgan. Bestemmelsene gjelder ikke statsråd i egenskap av regjeringsmedlem.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19 juni 1969 nr. 54, 12 jan 1995 nr. 4 (i kraft 1 april 1995).</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r w:rsidRPr="007840B0">
        <w:rPr>
          <w:rFonts w:ascii="Arial" w:eastAsia="Times New Roman" w:hAnsi="Arial" w:cs="Arial"/>
          <w:b/>
          <w:bCs/>
          <w:color w:val="CC052B"/>
          <w:sz w:val="24"/>
          <w:szCs w:val="24"/>
          <w:lang w:eastAsia="nb-NO"/>
        </w:rPr>
        <w:t>Kapittel III. Almindelige regler om saksbehandlingen.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11.</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(veiledningsplikt).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Forvaltningsorganene har innenfor sitt sakområde en alminnelig veiledningsplikt. Formålet med veiledningen skal være å gi parter og andre interesserte adgang til å vareta sitt tarv i bestemte saker på best mulig måte. Omfanget av veiledningen må likevel tilpasses det enkelte forvaltningsorgans situasjon og kapasitet til å påta seg slik virksomhet.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Forvaltningsorganer som behandler saker med en eller flere private parter, skal av eget tiltak vurdere partenes behov for veiledning. Etter forespørsel fra en part og ellers når sakens art eller partens forhold gir grunn til det, skal forvaltningsorganet gi veiledning om:</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gjeldende lover og forskrifter og vanlig praksis på vedkommende sakområde, og</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regler for saksbehandlingen, særlig om parters rettigheter og plikter etter forvaltningsloven. Om mulig bør forvaltningsorganet også peke på omstendigheter som i det konkrete tilfellet særlig kan få betydning for resultatet.</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       Uavhengig av om sak pågår, plikter forvaltningsorganet innen sitt sakområde å gi veiledning som nevnt i annet ledd til en person som spør om sine rettigheter og plikter i et konkret forhold som har aktuell interesse for ham.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Dersom noen henvender seg til urette myndighet, skal det forvaltningsorgan som mottar henvendelsen, om mulig vise vedkommende til rett organ. Inneholder en henvendelse til et forvaltningsorgan feil, misforståelser, unøyaktigheter eller andre mangler som avsenderen bør rette, skal organet om nødvendig gi beskjed om dette. Organet bør samtidig gi frist til å rette opp mangelen og eventuelt gi veiledning om hvordan dette kan gjøres.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       Kongen kan gi nærmere bestemmelse om utstrekningen av veiledningsplikten og om den måten veiledningen skal ytes på.</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12 jan 1995 nr. 4 (i kraft 1 april 1995 iflg. res. 12 jan 1995 nr. 22).</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45" w:name="11a"/>
      <w:bookmarkEnd w:id="45"/>
      <w:r w:rsidRPr="007840B0">
        <w:rPr>
          <w:rFonts w:ascii="Arial" w:eastAsia="Times New Roman" w:hAnsi="Arial" w:cs="Arial"/>
          <w:b/>
          <w:bCs/>
          <w:color w:val="000000"/>
          <w:sz w:val="24"/>
          <w:szCs w:val="24"/>
          <w:lang w:eastAsia="nb-NO"/>
        </w:rPr>
        <w:t>§ 11a.</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(saksbehandlingstid, foreløpig svar).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Forvaltningsorganet skal forberede og avgjøre saken uten ugrunnet opphold.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Dersom det må ventes at det vil ta uforholdsmessig lang tid før en henvendelse kan besvares, skal det forvaltningsorganet som mottok henvendelsen, snarest mulig gi et foreløpig svar. I svaret skal det gjøres rede for grunnen til at henvendelsen ikke kan behandles tidligere, og såvidt mulig angis når svar kan ventes. Foreløpig svar kan unnlates dersom det må anses som åpenbart unødvendig.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I saker som gjelder enkeltvedtak, skal det gis foreløpig svar etter annet ledd dersom en henvendelse ikke kan besvares i løpet av en måned etter at den er mottatt.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Tilføyd ved lov 27 mai 1977 nr. 40 (tidligere § 22), endret ved lov 12 jan 1995 nr. 4 (i kraft 1 april 1995).</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46" w:name="11b"/>
      <w:bookmarkEnd w:id="46"/>
      <w:r w:rsidRPr="007840B0">
        <w:rPr>
          <w:rFonts w:ascii="Arial" w:eastAsia="Times New Roman" w:hAnsi="Arial" w:cs="Arial"/>
          <w:b/>
          <w:bCs/>
          <w:color w:val="000000"/>
          <w:sz w:val="24"/>
          <w:szCs w:val="24"/>
          <w:lang w:eastAsia="nb-NO"/>
        </w:rPr>
        <w:t>§ 11b.</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(adgang for Kongen til å fastsette frister)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Kongen kan på bestemte områder fastsette frister for forvaltningens behandling av saker om enkeltvedtak. Kongen kan ved forskrift gi nærmere regler om beregningen av fristene.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Tilføyd ved lov 25 juni 1999 nr. 47 (i kraft 8 sep 2000 iflg. res. 8 sep 2000 nr. 898).</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47" w:name="11c"/>
      <w:bookmarkEnd w:id="47"/>
      <w:r w:rsidRPr="007840B0">
        <w:rPr>
          <w:rFonts w:ascii="Arial" w:eastAsia="Times New Roman" w:hAnsi="Arial" w:cs="Arial"/>
          <w:b/>
          <w:bCs/>
          <w:color w:val="000000"/>
          <w:sz w:val="24"/>
          <w:szCs w:val="24"/>
          <w:lang w:eastAsia="nb-NO"/>
        </w:rPr>
        <w:t>§ 11c.</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(adgang for Kongen til å gi regler om nemnder).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Kongen kan gi regler om oppnevning og sammensetning av statlige nemnder (styrer, råd og andre kollegiale forvaltningsorganer), herunder om plikt til å gjøre tjeneste, om funksjonstiden og om løsning fra vervet. Kongen kan også gi regler om saksbehandlingen i nemndene og om delegasjon innen nemnda eller til nemndas sekretariat. Om delegasjon av myndighet kan gis regler også for den enkelte nemnd.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Kongens myndighet etter første ledd gjelder bare spørsmål som ikke uttømmende er regulert i lov.</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Tilføyd ved lov 27 mai 1977 nr. 40, endret ved lover 25 sep 1992 nr. 107, 25 juni 1999 nr. 47 (i kraft 8 sep 2000 iflg. res. 8 sep 2000 nr. 898 - tidligere § 11 b).</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48" w:name="11d"/>
      <w:bookmarkEnd w:id="48"/>
      <w:r w:rsidRPr="007840B0">
        <w:rPr>
          <w:rFonts w:ascii="Arial" w:eastAsia="Times New Roman" w:hAnsi="Arial" w:cs="Arial"/>
          <w:b/>
          <w:bCs/>
          <w:color w:val="000000"/>
          <w:sz w:val="24"/>
          <w:szCs w:val="24"/>
          <w:lang w:eastAsia="nb-NO"/>
        </w:rPr>
        <w:t>§ 11d.</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(muntlige konferanser og nedtegning av opplysninger).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I den utstrekning en forsvarlig utførelse av tjenesten tillater det, skal en part som har saklig grunn for det, gis adgang til å tale muntlig med en tjenestemann ved det forvaltningsorgan som behandler saken. Dersom en mindreårig er part i saken og blir representert av verge, gjelder dette også den mindreårige selv.</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Blir det ved muntlige forhandlinger, konferanser eller telefonsamtaler av en part gitt nye opplysninger eller anførsler av betydning for avgjørelsen av saken, skal de såvidt mulig nedtegnes eller protokolleres. Det samme gjelder iakttakelser tjenestemannen gjør ved befaring m.m.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Tilføyd ved lov 12 jan 1995 nr. 4 (i kraft 1 april 1995), endret ved lover 25 juni 1999 nr. 47 (tidligere § 11 c, i kraft 8 sep 2000 iflg. res. 8 sep 2000 nr. 898), 1 aug 2003 nr. 86 (i kraft 1 okt 2003 iflg. res. 1 aug 2003 nr. 991).</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12.</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(advokat eller annen fullmektig).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       En part har rett til å la seg bistå av advokat eller annen fullmektig på alle trinn av saksbehandlingen.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Som fullmektig kan brukes enhver myndig person eller en organisasjon som vedkommende er medlem av. Forvaltningsorganet kan likevel tilbakevise den som uten å være advokat, søker erverv ved å opptre for andre i forvaltningssaker, men ikke i saker der vedkommende har rett til å yte rettshjelp etter domstolloven § 218. Tjenestemann tilsatt ved forvaltningsorgan innenfor det forvaltningsområde som saken hører under, kan ikke opptre som fullmektig.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Alle henvendelser i en sak kan gjøres ved fullmektig, og parten har rett til å ha med seg fullmektig når han møter personlig for forvaltningsorganet. Alle meddelelser og henvendelser fra forvaltningsorganet skal skje til partens fullmektig forsåvidt forholdet dekkes av fullmakten. Når det finnes hensiktsmessig, kan parten også underrettes direkte. Parten kan kreve å bli underrettet ved siden av eller i stedet for fullmektigen.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Fullmektig som ikke er advokat, skal legge frem skriftlig fullmakt. Advokat behøver ikke å legge frem skriftlig fullmakt, med mindre forvaltningsorganet finner grunn til å kreve det.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13 mai 1988 nr. 26, 4 juli 1991 nr. 44.</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13.</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(taushetsplikt).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Enhver som utfører tjeneste eller arbeid for et forvaltningsorgan, plikter å hindre at andre får adgang eller kjennskap til det han i forbindelse med tjenesten eller arbeidet får vite om:</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1)</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noens personlige forhold, eller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2)</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tekniske innretninger og fremgangsmåter samt drifts- eller forretningsforhold som det vil være av konkurransemessig betydning å hemmeligholde av hensyn til den som opplysningen angår.</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       Som personlige forhold regnes ikke fødested, fødselsdato og personnummer, statsborgerforhold, sivilstand, yrke, bopel og arbeidssted, med mindre slike opplysninger røper et klientforhold eller andre forhold som må anses som personlige. Kongen kan ellers gi nærmere forskrifter om hvilke opplysninger som skal reknes som personlige, om hvilke organer som kan gi privatpersoner opplysninger som nevnt i punktumet foran og opplysninger om den enkeltes personlige status for øvrig, samt om vilkårene for å gi slike opplysninger.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Taushetsplikten gjelder også etter at vedkommende har avsluttet tjenesten eller arbeidet. Han kan heller ikke utnytte opplysninger som nevnt i denne paragraf i egen virksomhet eller i tjeneste eller arbeid for andre.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Tilføyd ved lov 27 mai 1977 nr. 40, endret ved lov 11 juni 1982 nr. 47.</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49" w:name="13a"/>
      <w:bookmarkEnd w:id="49"/>
      <w:r w:rsidRPr="007840B0">
        <w:rPr>
          <w:rFonts w:ascii="Arial" w:eastAsia="Times New Roman" w:hAnsi="Arial" w:cs="Arial"/>
          <w:b/>
          <w:bCs/>
          <w:color w:val="000000"/>
          <w:sz w:val="24"/>
          <w:szCs w:val="24"/>
          <w:lang w:eastAsia="nb-NO"/>
        </w:rPr>
        <w:t>§ 13a.</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(begrensninger i taushetsplikten når det ikke er behov for beskyttelse).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Taushetsplikt etter § 13 er ikke til hinder for:</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1.</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at opplysninger gjøres kjent for dem som de direkte gjelder, eller for andre i den utstrekning de som har krav på taushet samtykker,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2.</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 xml:space="preserve">at opplysningene brukes når behovet for beskyttelse må anses varetatt ved at de gis i </w:t>
            </w:r>
            <w:r w:rsidRPr="007840B0">
              <w:rPr>
                <w:rFonts w:ascii="Times New Roman" w:eastAsia="Times New Roman" w:hAnsi="Times New Roman" w:cs="Times New Roman"/>
                <w:sz w:val="24"/>
                <w:szCs w:val="24"/>
                <w:lang w:eastAsia="nb-NO"/>
              </w:rPr>
              <w:lastRenderedPageBreak/>
              <w:t>statistisk form eller ved at individualiserende kjennetegn utelates på annen måte, og</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3.</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at opplysningene brukes når ingen berettiget interesse tilsier at de holdes hemmelig, f.eks. når de er alminnelig kjent eller alminnelig tilgjengelig andre steder.</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17"/>
          <w:szCs w:val="17"/>
          <w:lang w:eastAsia="nb-NO"/>
        </w:rPr>
        <w:t>Tilføyd ved lov 27 mai 1977 nr. 40.</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50" w:name="13b"/>
      <w:bookmarkEnd w:id="50"/>
      <w:r w:rsidRPr="007840B0">
        <w:rPr>
          <w:rFonts w:ascii="Arial" w:eastAsia="Times New Roman" w:hAnsi="Arial" w:cs="Arial"/>
          <w:b/>
          <w:bCs/>
          <w:color w:val="000000"/>
          <w:sz w:val="24"/>
          <w:szCs w:val="24"/>
          <w:lang w:eastAsia="nb-NO"/>
        </w:rPr>
        <w:t>§ 13b.</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(begrensninger av taushetsplikten ut fra private eller offentlige interesser).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Taushetsplikt etter § 13 er ikke til hinder for:</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1.</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at opplysningene i en sak gjøres kjent for sakens parter eller deres representanter,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2.</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at opplysningene brukes for å oppnå det formål de er gitt eller innhentet for, bl.a. kan brukes i forbindelse med saksforberedelse, avgjørelse, gjennomføring av avgjørelsen, oppfølging og kontroll,</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3.</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at opplysningene er tilgjengelig for andre tjenestemenn innen organet eller etaten i den utstrekning som trengs for en hensiktsmessig arbeids- og arkivordning, bl.a. til bruk ved vegledning i andre saker,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4.</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at opplysningene brukes for statistisk bearbeiding, utrednings- og planleggingsoppgaver, eller i forbindelse med revisjon eller annen form for kontroll med forvaltningen,</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5.</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at forvaltningsorganet gir andre forvaltningsorganer opplysninger om en persons forbindelse med organet og om avgjørelser som er truffet og ellers slike opplysninger som det er nødvendig å gi for å fremme avgiverorganets oppgaver etter lov, instruks eller oppnevningsgrunnlag,</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6.</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at forvaltningsorganet anmelder eller gir opplysninger (jfr. også nr. 5) om lovbrudd til påtalemyndigheten eller vedkommende kontrollmyndighet, når det finnes ønskelig av allmenne omsyn eller forfølgning av lovbruddet har naturlig sammenheng med angiverorganets oppgaver,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7.</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at forvaltningsorganet gir et annet forvaltningsorgan opplysninger (samordning) som forutsatt i lov om Oppgaveregisteret,</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8.</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at forvaltningsorganet gir et forvaltningsorgan i en annen EØS-stat opplysninger som forutsatt i tjenesteloven.</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       Part eller partsrepresentant som blir gjort kjent med opplysninger etter første ledd nr. 1, kan bare bruke opplysningene i den utstrekning det er nødvendig for å vareta partens tarv i saken. Forvaltningsorganet skal gjøre ham merksam på dette. Likeledes kan forvaltningsorganet pålegge taushetsplikt når vitner o.l. får opplysninger undergitt taushetsplikt i forbindelse med at de uttaler seg til organet. Overtreding av taushetsplikt etter dette ledd kan straffes etter straffelovens § 121, dersom vedkommende er gjort merksam på at overtreding kan få slik følge.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Tilføyd ved lov 27 mai 1977 nr. 40, endret ved lover 6 juni 1997 nr. 35 (i kraft 1 nov 1997), 19 juni 2009 nr. 103 (i kraft 28 des 2009 iflg. res. 19 juni 2009 nr. 672). Endres ved lov 20 mai 2005 nr. 28 (i kraft fra den tid som fastsettes ved lov) som endret ved lov 19 juni 2009 nr. 74.</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51" w:name="13c"/>
      <w:bookmarkEnd w:id="51"/>
      <w:r w:rsidRPr="007840B0">
        <w:rPr>
          <w:rFonts w:ascii="Arial" w:eastAsia="Times New Roman" w:hAnsi="Arial" w:cs="Arial"/>
          <w:b/>
          <w:bCs/>
          <w:color w:val="000000"/>
          <w:sz w:val="24"/>
          <w:szCs w:val="24"/>
          <w:lang w:eastAsia="nb-NO"/>
        </w:rPr>
        <w:t>§ 13c.</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(informasjon om taushetsplikt, oppbevaring av opplysninger undergitt taushetsplikt).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Vedkommende forvaltningsorgan skal sørge for at taushetsplikten blir kjent for dem den gjelder, og kan kreve skriftlig erklæring om at de kjenner og vil respektere reglene.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       Dokumenter og annet materiale som inneholder opplysninger undergitt taushetsplikt, skal forvaltningsorganet oppbevare på betryggende måte.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Kongen kan gi nærmere regler om oppbevaring av dokumenter og annet materiale som er undergitt taushetsplikt, om tilintetgjøring av dokumenter eller materiale og om bortfall av taushetsplikt etter en viss tid. Taushetsplikten bortfaller etter 60 år når ikke annet er bestemt i medhold av foregående punktum.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Tilføyd ved lov 27 mai 1977 nr. 40.</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52" w:name="13d"/>
      <w:bookmarkEnd w:id="52"/>
      <w:r w:rsidRPr="007840B0">
        <w:rPr>
          <w:rFonts w:ascii="Arial" w:eastAsia="Times New Roman" w:hAnsi="Arial" w:cs="Arial"/>
          <w:b/>
          <w:bCs/>
          <w:color w:val="000000"/>
          <w:sz w:val="24"/>
          <w:szCs w:val="24"/>
          <w:lang w:eastAsia="nb-NO"/>
        </w:rPr>
        <w:t>§ 13d.</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(opplysninger til bruk for forsking).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Når det finnes rimelig og ikke medfører uforholdsmessig ulempe for andre interesser, kan departementet bestemme at et forvaltningsorgan kan eller skal gi opplysninger til bruk for forsking, og at dette skal skje uten hinder av organets taushetsplikt etter § 13.</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Til vedtak som nevnt i første ledd kan det knyttes vilkår. Disse kan bl.a. gi bestemmelser om hvem som skal ha ansvar for opplysningene og hvem som skal ha adgang til dem, om oppbevaring og tilbakelevering av utlånt materiale, om tilintetgjøring av avskrifter, om hvorvidt forskerne skal ha adgang til å henvende seg til eller innhente nærmere opplysninger om dem det er gitt opplysninger om, og om bruken av opplysningene for øvrig.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Kongen kan gi nærmere forskrifter om vedtak etter denne paragraf.</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Tilføyd ved lov 27 mai 1977 nr. 40.</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53" w:name="13e"/>
      <w:bookmarkEnd w:id="53"/>
      <w:r w:rsidRPr="007840B0">
        <w:rPr>
          <w:rFonts w:ascii="Arial" w:eastAsia="Times New Roman" w:hAnsi="Arial" w:cs="Arial"/>
          <w:b/>
          <w:bCs/>
          <w:color w:val="000000"/>
          <w:sz w:val="24"/>
          <w:szCs w:val="24"/>
          <w:lang w:eastAsia="nb-NO"/>
        </w:rPr>
        <w:t>§ 13e.</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(forskeres taushetsplikt).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Enhver som utfører tjeneste eller arbeid i forbindelse med en forskingsoppgave som et forvaltningsorgan har støttet, godkjent eller gitt opplysninger undergitt taushetsplikt til, plikter å hindre at andre får adgang eller kjennskap til:</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1.</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opplysninger undergitt taushetsplikt som forskeren får fra et forvaltningsorgan,</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2.</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opplysninger som i forbindelse med forskningsarbeidet er mottatt fra private under taushetsløfte, og</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3.</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opplysninger som gjelder personer som står i et avhengighetsforhold til den instans (skole, sykehus, anstalt, bedrift, offentlig myndighet m.m.) som har formidlet deres kontakt med forskeren.</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       Opplysningene kan bare brukes slik det er nødvendig for forskingsarbeidet og i samsvar med de vilkår som måtte være fastsatt etter § 13 d annet ledd. Skal resultater av forskingsarbeidet publiseres eller brukes på annen måte, gjelder § 13 a nr. 1 og 2 tilsvarende.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Brudd på taushetsplikten eller på vilkår etter § 13 d annet ledd, straffes etter straffelovens § 121. Departementet eller vedkommende forvaltningsorgan skal gjøre forskeren og hans medarbeidere kjent med taushetsplikten og straffebestemmelsen, jfr. også § 13 c første ledd.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Tilføyd ved lov 27 mai 1977 nr. 40. Endres ved lov 20 mai 2005 nr. 28 (i kraft fra den tid som fastsettes ved lov) som endret ved lov 19 juni 2009 nr. 74.</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54" w:name="13f"/>
      <w:bookmarkEnd w:id="54"/>
      <w:r w:rsidRPr="007840B0">
        <w:rPr>
          <w:rFonts w:ascii="Arial" w:eastAsia="Times New Roman" w:hAnsi="Arial" w:cs="Arial"/>
          <w:b/>
          <w:bCs/>
          <w:color w:val="000000"/>
          <w:sz w:val="24"/>
          <w:szCs w:val="24"/>
          <w:lang w:eastAsia="nb-NO"/>
        </w:rPr>
        <w:t>§ 13f.</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(bestemmelser om taushets- og opplysningsplikt m.m. i andre lover).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       Dersom noen som utfører tjeneste eller arbeid for et forvaltningsorgan, er pålagt taushetsplikt ved bestemmelse i annen lov, forskrift eller instruks av hensyn til private interesser, gjelder §§ 13 til 13 e som utfyllende regler når ikke annet er bestemt i lov eller i medhold av lov.</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Bestemmelse i annen lov om rett eller plikt til å gi opplysninger begrenser ikke lovbestemt taushetsplikt, med mindre vedkommende bestemmelse fastsetter eller klart forutsetter at taushetsplikten ikke skal gjelde.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Tilføyd ved lov 27 mai 1977 nr. 40, endret ved lov 16 mai 1986 nr. 21.</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14.</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(saksforberedelse og klage ved pålegg om å gi opplysninger).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Blir noen pålagt å gi opplysninger, skal heimelen for pålegget angis. Vedkommende har rett til å klage over pålegget dersom han mener at han ikke har plikt eller lovlig adgang til å gi opplysningene. Han skal gjøres oppmerksom på klageadgangen i forbindelse med pålegget. Klage, som kan være muntlig, må framsettes straks når den pålegget angår er til stede, og ellers innen 3 dager. Dersom vedkommende forvaltningsorgan finner det påtrengende nødvendig for å gjennomføre sine oppgaver etter loven, kan det kreve at opplysningene blir gitt før klagesaken er avgjort. For øvrig gjelder bestemmelsene i kapittel VI tilsvarende så langt de passer.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27 mai 1977 nr. 40.</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15.</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(fremgangsmåten ved gransking o.l.).</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Ved gransking, herunder husundersøkelse og bokettersyn, som ikke blir utført på et offentlig kontor eller annet bestemt tjenestested, skal den som leder forretningen, uten oppfordring legitimere seg, meddele formålet med forretningen og oppgi hjemmelen for den. Dette gjelder likevel ikke når den som forretningen angår, kjenner vedkommende og ikke krever det.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Den som forretningen angår, skal ha rett til å ha et vitne til stede. Han skal gjøres oppmerksom på denne rett, med mindre det finnes åpenbart hensiktsløst. Navnet på de personer som er til stede, undersøkelsens gjenstand, formål og lovhjemmel skal skrives ned eller protokolleres.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Bestemmelsene i første og annet ledd gjelder bare for så vidt de kan gjennomføres uten vesentlig ulempe eller uten at formålet med forretningen settes i fare.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Den som forretningen angår, har rett til å klage over beslutning om å fremme forretningen. Klage, som kan være muntlig, må framsettes straks når vedkommende er til stede, og ellers innen tre dager. Dersom vedkommende forvaltningsorgan finner det påtrengende nødvendig for å gjennomføre sine oppgaver etter loven, kan forretningen gjennomføres før klagesaken er avgjort. For øvrig gjelder bestemmelsene i kapittel VI tilsvarende så langt de passer.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19 juni 1969 nr. 54, 27 mai 1977 nr. 40.</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55" w:name="15a"/>
      <w:bookmarkEnd w:id="55"/>
      <w:r w:rsidRPr="007840B0">
        <w:rPr>
          <w:rFonts w:ascii="Arial" w:eastAsia="Times New Roman" w:hAnsi="Arial" w:cs="Arial"/>
          <w:b/>
          <w:bCs/>
          <w:color w:val="000000"/>
          <w:sz w:val="24"/>
          <w:szCs w:val="24"/>
          <w:lang w:eastAsia="nb-NO"/>
        </w:rPr>
        <w:t>§ 15a.</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(elektronisk kommunikasjon)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Kongen kan gi forskrift om elektronisk kommunikasjon mellom forvaltningen og publikum og elektronisk saksbehandling og kommunikasjon i forvaltningen, herunder nærmere regler om</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lastRenderedPageBreak/>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hvilken elektronisk adresse eller informasjonstjeneste som skal benyttes,</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signering, autentisering, sikring av integritet og konfidensialitet,</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kvittering for mottak av elektroniske meldinger,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krav til de produkter, tjenester og standarder som kan benyttes,</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e)</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forvaltningens rett til å sperre for brukere som misbruker data ment for signering, autentisering, sikring av integritet eller konfidensialitet, og om hva som skal regnes som misbruk.</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17"/>
          <w:szCs w:val="17"/>
          <w:lang w:eastAsia="nb-NO"/>
        </w:rPr>
        <w:t>Tilføyd ved lov 21 des 2001 nr. 117 (i kraft 1 jan 2002 iflg. res. 21 des 2001 nr. 1475).</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r w:rsidRPr="007840B0">
        <w:rPr>
          <w:rFonts w:ascii="Arial" w:eastAsia="Times New Roman" w:hAnsi="Arial" w:cs="Arial"/>
          <w:b/>
          <w:bCs/>
          <w:color w:val="CC052B"/>
          <w:sz w:val="24"/>
          <w:szCs w:val="24"/>
          <w:lang w:eastAsia="nb-NO"/>
        </w:rPr>
        <w:t>Kapittel IV. Om saksforberedelse ved enkeltvedtak.</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16.</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(forhåndsvarsling).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Part som ikke allerede ved søknad eller på annen måte har uttalt seg i saken, skal varsles før vedtak treffes og gis høve til å uttale seg innen en nærmere angitt frist. Dersom en mindreårig over 15 år er part i saken og blir representert av verge, skal dette også gjelde den mindreårige selv. Fristen løper fra den dag varslet er avsendt, når ikke annet uttrykkelig er sagt.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Forhåndsvarslet skal gjøre greie for hva saken gjelder og ellers inneholde det som anses påkrevd for at parten på forsvarlig måte kan vareta sitt tarv. I regelen gis forhåndsvarsel skriftlig. Det skriftlige forhåndsvarslet kan gis ved bruk av elektronisk kommunikasjon når mottakeren uttrykkelig har godtatt dette og har oppgitt den elektroniske adressen som skal benyttes for slikt formål. Er det særlig byrdefullt å gi skriftlig underretning, kan underretningen gis muntlig eller på annen måte.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Forhåndsvarsling kan unnlates dersom:</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slik varsling ikke er praktisk mulig eller vil medføre fare for at vedtaket ikke kan gjennomføres,</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parten ikke har kjent adresse og ettersporing av ham vil kreve mer tid eller arbeid enn rimelig i forhold til partens interesser og til betydningen av varslet,</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vedkommende part allerede på annen måte har fått kjennskap til at vedtak skal treffes og har hatt rimelig foranledning og tid til å uttale seg, eller varsel av andre grunner må anses åpenbart unødvendig.</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17"/>
          <w:szCs w:val="17"/>
          <w:lang w:eastAsia="nb-NO"/>
        </w:rPr>
        <w:t>Endret ved lover 27 mai 1977 nr. 40, 8 april 1981 nr. 7, 21 des 2001 nr. 117 (i kraft 1 jan 2002 iflg. res. 21 des 2001 nr. 1475), 1 aug 2003 nr. 86 (i kraft 1 okt 2003 iflg. res. 1 aug 2003 nr. 991).</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17.</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(forvaltningsorganets utrednings- og informasjonsplikt).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Forvaltningsorganet skal påse at saken er så godt opplyst som mulig før vedtak treffes. Det skal påse at mindreårige parter har fått mulighet til å gi uttrykk for sitt syn, i den grad de er i stand til å danne seg egne synspunkter på det saken gjelder. De mindreåriges syn skal tillegges vekt i samsvar med deres alder og modenhet.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Dersom det under saksforberedelsen mottar opplysninger om en part eller den virksomhet han driver eller planlegger, og parten etter §§ 18 til 19 har rett til å gjøre seg kjent med disse opplysninger, skal de forelegges ham til uttalelse. Dette gjelder likevel ikke når</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 xml:space="preserve">opplysningene bekreftes av framstilling som parten selv har gitt eller kontrollert i </w:t>
            </w:r>
            <w:r w:rsidRPr="007840B0">
              <w:rPr>
                <w:rFonts w:ascii="Times New Roman" w:eastAsia="Times New Roman" w:hAnsi="Times New Roman" w:cs="Times New Roman"/>
                <w:sz w:val="24"/>
                <w:szCs w:val="24"/>
                <w:lang w:eastAsia="nb-NO"/>
              </w:rPr>
              <w:lastRenderedPageBreak/>
              <w:t>anledning av saken eller parten ikke har kjent oppholdssted,</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rask avgjørelse i saken er påkrevd av hensyn til andre parter eller offentlige interesser,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opplysningene ikke har avgjørende betydning for vedtaket eller underretning av andre grunner er unødvendig eller uhensiktsmessig ut fra hensynet til parten selv, for eksempel fordi han vil bli gjort kjent med opplysningene ved melding om vedtaket.</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       Partene bør også for øvrig gjøres kjent med opplysninger av vesentlig betydning som det må forutsettes at de har grunnlag og interesse for å uttale seg om, og som parten etter §§ 18 til 19 har rett til å gjøre seg kjent med. Ved avveiningen skal legges vekt på om rask avgjørelse er ønskelig og om hensynet til parten er tilstrekkelig varetatt på annen måte, for eksempel ved at han er gjort kjent med retten etter §§ 18 til 19 til å se sakens dokumenter.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Dersom en mindreårig over 15 år er part i saken og blir representert av verge, skal opplysninger som nevnt i annet og tredje ledd også forelegges den mindreårige selv, hvis ikke den mindreårige har erklært at det ikke er nødvendig.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27 mai 1977 nr. 40, 1 aug 2003 nr. 86 (i kraft 1 okt 2003 iflg. res. 1 aug 2003 nr. 991), 19 mai 2006 nr. 16 (i kraft 1 jan 2009 iflg. res. 17 okt 2008 nr. 1118).</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18.</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(partenes adgang til å gjøre seg kjent med sakens dokumenter).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En part har rett til å gjøre seg kjent med sakens dokumenter, for så vidt ikke annet følger av reglene i §§ 18 til 19. Dersom en mindreårig er part i saken og blir representert av verge, gjelder dette også den mindreårige selv. Retten til innsyn gjelder også etter at det er truffet vedtak i saken. En mindreårig under 15 år skal ikke gjøres kjent med opplysninger som er underlagt lovbestemt taushetsplikt.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Når det er adgang til å gjøre unntak fra innsyn, skal forvaltningsorganet likevel vurdere å gi helt eller delvis innsyn. Innsyn bør gis dersom hensynet til parten veier tyngre enn behovet for unntak.</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27 mai 1977 nr. 40, 11 juni 1982 nr. 47, 25 sep 1992 nr. 107, 15 des 2000 nr. 98 (i kraft 1 jan 2001 iflg. res. 15 des 2000 nr. 1259), 25 jan 2002 nr. 2, 1 aug 2003 nr. 86 (i kraft 1 okt 2003 iflg. res. 1 aug 2003 nr. 991), 19 mai 2006 nr. 16 (i kraft 1 jan 2009 iflg. res. 17 okt 2008 nr. 1118).</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56" w:name="18a"/>
      <w:bookmarkEnd w:id="56"/>
      <w:r w:rsidRPr="007840B0">
        <w:rPr>
          <w:rFonts w:ascii="Arial" w:eastAsia="Times New Roman" w:hAnsi="Arial" w:cs="Arial"/>
          <w:b/>
          <w:bCs/>
          <w:color w:val="000000"/>
          <w:sz w:val="24"/>
          <w:szCs w:val="24"/>
          <w:lang w:eastAsia="nb-NO"/>
        </w:rPr>
        <w:t>§ 18a.</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(dokument utarbeidet for egen saksforberedelse).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En part har ikke krav på å gjøre seg kjent med dokument som et forvaltningsorgan har utarbeidd for sin egen interne saksforberedelse (organinterne dokumenter). Første punktum gjelder ikke foredrag til saker som blir behandlet av Kongen i statsråd, etter at saken er avgjort, og presedenskort, med mindre kortet gjengir organinterne vurderinger.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Kongen kan gi forskrift om at det ikke skal kunne gjøres unntak etter første ledd for bestemte dokumenter i bestemte statlige eller statlig tilknyttede organer.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Tilføyd ved lov 19 mai 2006 nr. 16 (i kraft 1 jan 2009 iflg. res. 17 okt 2008 nr. 1118).</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57" w:name="18b"/>
      <w:bookmarkEnd w:id="57"/>
      <w:r w:rsidRPr="007840B0">
        <w:rPr>
          <w:rFonts w:ascii="Arial" w:eastAsia="Times New Roman" w:hAnsi="Arial" w:cs="Arial"/>
          <w:b/>
          <w:bCs/>
          <w:color w:val="000000"/>
          <w:sz w:val="24"/>
          <w:szCs w:val="24"/>
          <w:lang w:eastAsia="nb-NO"/>
        </w:rPr>
        <w:t>§ 18b.</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(dokumenter innhentet utenfra for den interne saksforberedelsen).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Når det er nødvendig for å sikre forsvarlige interne avgjørelsesprosesser, kan organet gjøre unntak fra innsyn for dokument som organet har innhentet fra et underordnet organ til bruk for sin interne saksforberedelse. Det samme gjelder dokument som et departement har innhentet fra et annet departement til bruk for sin interne saksforberedelse.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       Det kan gjøres unntak for deler av dokument som inneholder råd om og vurderinger av hvordan et organ bør opptre i en sak, og som organet har innhentet til bruk for sin interne saksforberedelse, når det er påkrevd av hensyn til en forsvarlig ivaretakelse av det offentliges interesser i saken.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Unntakene i paragrafen her gjelder tilsvarende for dokument om innhenting av dokument som nevnt i første og andre ledd, og innkallinger til og referater fra møter mellom overordnede og underordnede organer, mellom departementer og mellom et organ og noen som gir råd eller vurderinger som nevnt i andre ledd.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Tilføyd ved lov 19 mai 2006 nr. 16 (i kraft 1 jan 2009 iflg. res. 17 okt 2008 nr. 1118).</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58" w:name="18c"/>
      <w:bookmarkEnd w:id="58"/>
      <w:r w:rsidRPr="007840B0">
        <w:rPr>
          <w:rFonts w:ascii="Arial" w:eastAsia="Times New Roman" w:hAnsi="Arial" w:cs="Arial"/>
          <w:b/>
          <w:bCs/>
          <w:color w:val="000000"/>
          <w:sz w:val="24"/>
          <w:szCs w:val="24"/>
          <w:lang w:eastAsia="nb-NO"/>
        </w:rPr>
        <w:t>§ 18c.</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(innsyn i faktiske opplysninger mv.).</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Selv om dokumentet eller deler av det er unntatt etter reglene i §§ 18 a og 18 b, har parten rett til å gjøre seg kjent med de deler av det som inneholder faktiske opplysninger eller sammendrag eller annen bearbeidelse av faktum. Dette gjelder likevel ikke faktiske opplysninger uten betydning for avgjørelsen og heller ikke når opplysningene eller bearbeidelsen finnes i et annet dokument som parten har tilgang til.</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Tilføyd ved lov 19 mai 2006 nr. 16 (i kraft 1 jan 2009 iflg. res. 17 okt 2008 nr. 1118).</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59" w:name="18d"/>
      <w:bookmarkEnd w:id="59"/>
      <w:r w:rsidRPr="007840B0">
        <w:rPr>
          <w:rFonts w:ascii="Arial" w:eastAsia="Times New Roman" w:hAnsi="Arial" w:cs="Arial"/>
          <w:b/>
          <w:bCs/>
          <w:color w:val="000000"/>
          <w:sz w:val="24"/>
          <w:szCs w:val="24"/>
          <w:lang w:eastAsia="nb-NO"/>
        </w:rPr>
        <w:t>§ 18d.</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(innsyn i interne dokumenter hos kommunene og fylkeskommunene).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Unntakene i §§ 18 a og 18 b gjelder ikke: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saksframlegg med vedlegg til et kommunalt eller fylkeskommunalt folkevalgt organ,</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saksliste til møte i folkevalgte organer i kommuner og fylkeskommuner,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dokument fra eller til kommunale og fylkeskommunale kontrollutvalg, revisjonsorgan og klagenemnder, og</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dokument i saker der en kommunal eller fylkeskommunal enhet opptrer som ekstern part overfor en annen slik enhet.</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 18 a gjelder likevel for dokument som blir utvekslet mellom kommunale og fylkeskommunale kontrollutvalg og utvalgets sekretariat.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Unntaket i § 18 a gjelder ikke for dokument fra eller til et kommunalt eller fylkeskommunalt særlovsorgan eller et kommunalt eller fylkeskommunalt foretak etter kommuneloven kapittel 11.</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Unntaket i § 18 a gjelder heller ikke for dokument fra eller til en kommunal eller fylkeskommunal enhet på områder der enhetene har selvstendig avgjørelsesmyndighet. Unntaket i § 18 a gjelder likevel for dokument i saker der administrasjonssjefen eller kommunerådet gjennomfører kontrolltiltak overfor en enhet, og for utkast til vedtak og innstillinger som blir lagt fram for administrasjonssjefen eller kommunerådet før det blir fattet vedtak eller før en innstilling blir lagt fram for et folkevalgt organ. Unntaket i § 18 a gjelder også for administrasjonssjefens eller kommunerådets merknader til slike utkast som nevnt i forrige punktum.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Tilføyd ved lov 19 mai 2006 nr. 16 (i kraft 1 jan 2009 iflg. res. 17 okt 2008 nr. 1118).</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19.</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(innskrenket adgang til visse slags opplysninger).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       En part har ikke krav på å få gjøre seg kjent med de opplysninger i et dokument</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som er av betydning for Norges utenrikspolitiske interesser eller nasjonale forsvars- og sikkerhetsinteresser, når slike opplysninger kan unntas etter offentleglova §§ 20 og 21,</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som angår tekniske innretninger, produksjonsmetoder, forretningsmessige analyser og berekninger og forretningshemmeligheter ellers, når de er av en slik art at andre kan utnytte dem i sin egen næringsvirksomhet,</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som angår forskningsideer eller forskningsprosjekter i sak som gjelder økonomisk støtte eller rådgivning fra det offentlige i forbindelse med forskningsprosjekt, eller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som det av hensyn til hans helse eller hans forhold til personer som står ham nær, må anses utilrådelig at han får kjennskap til; likevel slik at opplysningene på anmodning skal gjøres kjent for en representant for parten når ikke særlige grunner taler mot det.</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       Med mindre det er av vesentlig betydning for en part, har han heller ikke krav på å få gjøre seg kjent med de opplysninger i et dokument som gjelder</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en annen persons helseforhold, eller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andre forhold som av særlige grunner ikke bør meddeles videre.</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       Kongen kan gi forskrifter som for særskilte saksområder utfyller eller nærmere fastlegger hvordan §§ 18 til 19 skal anvendes. Når tungtveiende grunner taler for det, kan forskriftene også gjøre unntak fra disse paragrafer.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19 juni 1969 nr. 54, 27 mai 1977 nr. 40, 19 mai 2006 nr. 16 (i kraft 1 jan 2009 iflg. res. 17 okt 2008 nr. 1118), 30 jan 2009 nr. 7 (i kraft 30 jan 2009 iflg. res. 30 jan 2009 nr. 76).</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20.</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(gjennomsyn og utlån av saksdokumenter).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Forvaltningsorganet bestemmer ut fra hensynet til forsvarlig saksbehandling hvordan dokumentene skal gjøres tilgjengelig for partene. Dersom partsinnsyn kan motvirke muligheten for å få saken avklart, kan fastsettes at parten ikke skal ha adgang til dokumentene så lenge undersøkelser pågår. Eksamensbesvarelser og liknende prøver kan den som avlegger eksamen eller prøve, nektes adgang til inntil bedømmelsen er avsluttet.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På anmodning skal en part gis papirkopi eller elektronisk kopi av dokument. Advokat som opptrer som fullmektig for en part, skal få utlånt dokumentene når ikke særlige grunner taler mot det. Ved utlån bør det settes tidsfrist. Dersom ikke saksdokumentene blir tilbakelevert forvaltningsorganet i rett tid, er kravet om tilbakelevering særlig tvangsgrunnlag etter tvangsfullbyrdelsesloven kap 13.</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Har partene krav på å få se deler av et dokument, kan opplysningene gis dem ved utdrag av det dersom forvaltningsorganet finner det hensiktsmessig.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Kopier skal gis vederlagsfritt. Kongen kan likevel gi forskrifter om betaling for avskrifter, utskrifter eller kopier.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Når en part har anmodet om å få gjøre seg kjent med dokument som han etter § 18 har adgang til å få se, skal det settes ham en viss frist for mulig uttalelse, såfremt ingen frist er satt i medhold av § 16 eller den fastsatte frist anses utilstrekkelig. Dette gjelder likevel ikke dersom hensynet til vesentlige offentlige eller private interesser taler mot utsettelse.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lastRenderedPageBreak/>
        <w:t>Endret ved lover 19 juni 1969 nr. 54, 27 mai 1977 nr. 40, 11 juni 1982 nr. 47, 17 des 1982 nr. 86, 26 juni 1992 nr. 86, 12 jan 1995 nr. 4 (i kraft 1 april 1995), 21 des 2001 nr. 117 (i kraft 1 jan 2002 iflg. res. 21 des 2001 nr. 1475), 19 mai 2006 nr. 16 (i kraft 1 jan 2009 iflg. res. 17 okt 2008 nr. 1118).</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21.</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(klage over avslag på krav om å få gjøre seg kjent med et dokument).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Avslag på krav om innsyn skal være skriftlig. Blir krav om å få gjøre seg kjent med et bestemt dokument eller opplysning avslått, skal parten gjøres merksam på den bestemmelse som ligger til grunn for avslaget og hvilket ledd og hvilken bokstav i bestemmelsen som er brukt. Avslaget skal opplyse om retten til å klage etter annet ledd og klagefristen etter § 29.</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Den som har satt fram kravet, kan påklage avslaget i samsvar med reglene i kap. VI. Fylkesmannen er klageinstans når avslaget er truffet av kommunalt eller fylkeskommunalt organ.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Tilføyd ved lov 27 mai 1977 nr. 40, endret ved lover 11 juni 1993 nr. 85, 10 jan 1997 nr. 7 (i kraft 1 mars 1997), 19 mai 2006 nr. 16 (i kraft 1 jan 2009 iflg. res. 17 okt 2008 nr. 1118).</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22.</w:t>
      </w:r>
      <w:r w:rsidRPr="007840B0">
        <w:rPr>
          <w:rFonts w:ascii="Arial" w:eastAsia="Times New Roman" w:hAnsi="Arial" w:cs="Arial"/>
          <w:color w:val="000000"/>
          <w:sz w:val="24"/>
          <w:szCs w:val="24"/>
          <w:lang w:eastAsia="nb-NO"/>
        </w:rPr>
        <w:t> (Opphevet ved lov 12 jan 1995 nr. 4.)</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60" w:name="map005"/>
      <w:bookmarkEnd w:id="60"/>
      <w:r w:rsidRPr="007840B0">
        <w:rPr>
          <w:rFonts w:ascii="Arial" w:eastAsia="Times New Roman" w:hAnsi="Arial" w:cs="Arial"/>
          <w:b/>
          <w:bCs/>
          <w:color w:val="CC052B"/>
          <w:sz w:val="24"/>
          <w:szCs w:val="24"/>
          <w:lang w:eastAsia="nb-NO"/>
        </w:rPr>
        <w:t>Kapittel V. Om vedtaket.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23.</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(formene for enkeltvedtak).</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Et enkeltvedtak skal være skriftlig om ikke dette av praktiske grunner vil være særlig byrdefullt for forvaltningsorganet.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24.</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(når enkeltvedtak skal grunngis).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Enkeltvedtak skal grunngis. Forvaltningsorganet skal gi begrunnelsen samtidig med at vedtaket treffes.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I andre saker enn klagesaker kan forvaltningsorganet la være å gi samtidig begrunnelse dersom det innvilger en søknad og det ikke er grunn til å tro at noen part vil være misfornøyd med vedtaket. Det samme gjelder i saker om fordeling av tillatelser eller andre fordeler mellom flere parter. En part kan likevel kreve begrunnelse gitt etter at vedtaket er truffet. Krav om begrunnelse må framsettes i løpet av klagefristen eller – om ingen klagefrist løper – senest 3 uker etter at parten mottok underretning om vedtaket. Bestemmelsene i §§ 29, 30 og 31 gjelder tilsvarende.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Grunngiing kan unnlates i den utstrekning begrunnelse ikke kan gis uten å røpe opplysning som parten etter § 19 ikke har krav på å bli kjent med. I tilfelle som går inn under § 19 første ledd bokstav c,</w:t>
      </w:r>
      <w:r w:rsidRPr="007840B0">
        <w:rPr>
          <w:rFonts w:ascii="Arial" w:eastAsia="Times New Roman" w:hAnsi="Arial" w:cs="Arial"/>
          <w:color w:val="000000"/>
          <w:sz w:val="24"/>
          <w:szCs w:val="24"/>
          <w:vertAlign w:val="superscript"/>
          <w:lang w:eastAsia="nb-NO"/>
        </w:rPr>
        <w:t>1</w:t>
      </w:r>
      <w:r w:rsidRPr="007840B0">
        <w:rPr>
          <w:rFonts w:ascii="Arial" w:eastAsia="Times New Roman" w:hAnsi="Arial" w:cs="Arial"/>
          <w:color w:val="000000"/>
          <w:sz w:val="24"/>
          <w:szCs w:val="24"/>
          <w:lang w:eastAsia="nb-NO"/>
        </w:rPr>
        <w:t> skal begrunnelse på anmodning gis en representant for parten når ikke særlige grunner taler mot det, likevel slik at muntlig orientering kan tre istedenfor skriftlig grunngiing.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Kongen kan for særskilte saksområder gi bestemmelser om at grunngiing kan unnlates når særlige forhold gjør det nødvendig. Likeledes kan Kongen bestemme at visse vedtak som går inn under første ledd skal grunngis etter reglene i annet ledd, eller at visse vedtak som går inn under annet ledd skal grunngis etter reglene i første ledd.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19 juni 1969 nr. 54, 27 mai 1977 nr. 40, 12 jan 1995 nr. 4 (i kraft 1 april 1995).</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17"/>
                <w:szCs w:val="17"/>
                <w:lang w:eastAsia="nb-NO"/>
              </w:rPr>
              <w:t>1</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17"/>
                <w:szCs w:val="17"/>
                <w:lang w:eastAsia="nb-NO"/>
              </w:rPr>
              <w:t>Nå bokstav d.</w:t>
            </w:r>
          </w:p>
        </w:tc>
      </w:tr>
    </w:tbl>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lastRenderedPageBreak/>
        <w:t>§ 25.</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(begrunnelsens innhold).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I begrunnelsen skal vises til de regler vedtaket bygger på, med mindre parten kjenner reglene. I den utstrekning det er nødvendig for å sette parten i stand til å forstå vedtaket, skal begrunnelsen også gjengi innholdet av reglene eller den problemstilling vedtaket bygger på.</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I begrunnelsen skal dessuten nevnes de faktiske forhold som vedtaket bygger på. Er de faktiske forhold beskrevet av parten selv eller i et dokument som er gjort kjent for parten, er en henvisning til den tidligere framstilling tilstrekkelig. I tilfelle skal det i underretningen til parten vedlegges kopi av framstillingen.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 hovedhensyn som har vært avgjørende ved utøving av forvaltningsmessig skjønn, bør nevnes. Er det gitt retningslinjer for skjønnsutøvingen, vil i alminnelighet en henvisning til retningslinjene være tilstrekkelig.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27 mai 1977 nr. 40, 12 jan 1995 nr. 4 (i kraft 1 april 1995).</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26.</w:t>
      </w:r>
      <w:r w:rsidRPr="007840B0">
        <w:rPr>
          <w:rFonts w:ascii="Arial" w:eastAsia="Times New Roman" w:hAnsi="Arial" w:cs="Arial"/>
          <w:color w:val="000000"/>
          <w:sz w:val="24"/>
          <w:szCs w:val="24"/>
          <w:lang w:eastAsia="nb-NO"/>
        </w:rPr>
        <w:t> (Opphevet ved lov 25 sep 1992 nr. 107.)</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27.</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(underretning om vedtaket).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forvaltningsorgan som har truffet vedtaket, skal sørge for at partene underrettes om vedtaket så snart som mulig. Dersom en mindreårig over 15 år er part i saken og blir representert av verge, skal organet også underrette den mindreårige selv. Underretning skal gis av det forvaltningsorgan som har truffet vedtaket, hvis ikke særlige grunner tilsier at dette overlates til et annet organ. I regelen gis underretning skriftlig. Den skriftlige underretningen kan gis ved bruk av elektronisk kommunikasjon når mottakeren uttrykkelig har godtatt dette og har oppgitt den elektroniske adressen som skal benyttes for slikt formål. Er det særlig byrdefullt for forvaltningsorganet å gi skriftlig underretning, eller haster saken, kan underretning gis muntlig eller på annen måte. I så fall kan en part kreve å få vedtaket skriftlig bekreftet. Underretning om vedtaket kan helt unnlates for så vidt underretning må anses åpenbart unødvendig og vedtaket ikke medfører skade eller ulempe for vedkommende part.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I saker der begrunnelsen etter § 24 skal gis samtidig med vedtaket, bør grunnene gjengis i underretningen. Der dette på grunn av særlige forhold ikke kan gjennomføres, og likeledes der partene kan kreve grunngiing etter § 24 annet ledd, skal det i underretningen isteden gis opplysning om på hvilken måte partene kan bli kjent med begrunnelsen.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I underretningen skal videre gis opplysning om klageadgang, klagefrist, klageinstans og den nærmere fremgangsmåte ved klage, samt om retten etter § 18, jfr § 19 til å se sakens dokumenter. Dersom vedtaket kan tenkes gjennomført til skade for parten før klagesaken er avgjort, skal det også gjøres merksam på adgangen til å be om at gjennomføringen utsettes, jfr. § 42 første ledd. Er det etter § 27 b i loven her eller etter særskilt lovbestemmelse et vilkår for søksmål at klageadgangen er nyttet, eller at søksmålet anlegges innen en viss frist, skal parten i underretningen om vedtaket også gjøres oppmerksom på dette. I motsatt fall kommer slike vilkår for søksmål ikke til anvendelse overfor parten.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I tillegg til veiledningen etter tredje ledd skal underretningen om enkeltvedtak til sakens parter opplyse om følgende når forholdene gir grunn til det:</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lastRenderedPageBreak/>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adgangen til å søke fritt rettsråd,</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forvaltningsorganenes veiledningsplikt etter § 11 og forskrifter gitt i medhold av den, og</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adgangen til å få tilkjent sakskostnader etter § 36.</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17"/>
          <w:szCs w:val="17"/>
          <w:lang w:eastAsia="nb-NO"/>
        </w:rPr>
        <w:t>Endret ved lover 19 juni 1969 nr. 54, 27 mai 1977 nr. 40, 12 jan 1995 nr. 4 (i kraft 1 april 1995), 21 des 2001 nr. 117 (i kraft 1 jan 2002 iflg. res. 21 des 2001 nr. 1475), 1 aug 2003 nr. 86 (i kraft 1 okt 2003 iflg. res. 1 aug 2003 nr. 991), 17 juni 2005 nr. 90 (i kraft 1 jan 2008 iflg. res. 26 jan 2007 nr. 88) som endret ved lover 26 jan 2007 nr. 3 og 21 des 2007 nr. 127.</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61" w:name="27a"/>
      <w:bookmarkEnd w:id="61"/>
      <w:r w:rsidRPr="007840B0">
        <w:rPr>
          <w:rFonts w:ascii="Arial" w:eastAsia="Times New Roman" w:hAnsi="Arial" w:cs="Arial"/>
          <w:b/>
          <w:bCs/>
          <w:color w:val="000000"/>
          <w:sz w:val="24"/>
          <w:szCs w:val="24"/>
          <w:lang w:eastAsia="nb-NO"/>
        </w:rPr>
        <w:t>§ 27a.</w:t>
      </w:r>
      <w:r w:rsidRPr="007840B0">
        <w:rPr>
          <w:rFonts w:ascii="Arial" w:eastAsia="Times New Roman" w:hAnsi="Arial" w:cs="Arial"/>
          <w:color w:val="000000"/>
          <w:sz w:val="24"/>
          <w:szCs w:val="24"/>
          <w:lang w:eastAsia="nb-NO"/>
        </w:rPr>
        <w:t> Dersom ikke annet er bestemt, kan Kongen gi forskrifter om betaling for behandling av søknader om bevillinger, tillatelser, autorisasjoner o.l. som gis av forvaltningsorgan. Attest eller bevitnelse om tidligere vedtak gis uten betaling. Krav på betaling etter denne bestemmelse er tvangsgrunnlag for utlegg.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Tilføyd ved lov 17 des 1982 nr. 86, endret ved lov 26 juni 1992 nr. 86.</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62" w:name="27b"/>
      <w:bookmarkEnd w:id="62"/>
      <w:r w:rsidRPr="007840B0">
        <w:rPr>
          <w:rFonts w:ascii="Arial" w:eastAsia="Times New Roman" w:hAnsi="Arial" w:cs="Arial"/>
          <w:b/>
          <w:bCs/>
          <w:color w:val="000000"/>
          <w:sz w:val="24"/>
          <w:szCs w:val="24"/>
          <w:lang w:eastAsia="nb-NO"/>
        </w:rPr>
        <w:t>§ 27b.</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(vilkår for å reise sak for domstolene om vedtaket).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forvaltningsorgan som har truffet vedtaket, kan bestemme at søksmål om gyldigheten av forvaltningsvedtak eller krav om erstatning som følge av vedtaket ikke skal kunne reises uten at vedkommende part har nyttet sin adgang til å klage over vedtaket, og at klagen er avgjort av den høyeste klageinstans som står åpen. Søksmål skal likevel i alle tilfelle kunne reises når det er gått 6 måneder fra klage første gang ble framsatt, og det ikke skyldes forsømmelse fra klagerens side at klageinstansens avgjørelse ikke foreligger.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Tilføyd ved lov 17 juni 2005 nr. 90 (i kraft 1 jan 2008 iflg. res. 26 jan 2007 nr. 88) som endret ved lov 26 jan 2007 nr. 3.</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63" w:name="map006"/>
      <w:bookmarkEnd w:id="63"/>
      <w:r w:rsidRPr="007840B0">
        <w:rPr>
          <w:rFonts w:ascii="Arial" w:eastAsia="Times New Roman" w:hAnsi="Arial" w:cs="Arial"/>
          <w:b/>
          <w:bCs/>
          <w:color w:val="CC052B"/>
          <w:sz w:val="24"/>
          <w:szCs w:val="24"/>
          <w:lang w:eastAsia="nb-NO"/>
        </w:rPr>
        <w:t>Kapittel VI. Om klage og omgjøring.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28.</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(vedtak som kan påklages, klageinstans).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Enkeltvedtak kan påklages av en part eller annen med rettslig klageinteresse i saken til det forvaltningsorgan (klageinstansen) som er nærmest overordnet det forvaltningsorgan som har truffet vedtaket (underinstansen).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For enkeltvedtak som er truffet av forvaltningsorgan opprettet i medhold av lov om kommuner og fylkeskommuner, er klageinstansen kommunestyret eller fylkestinget, eller etter disses bestemmelse, formannskapet eller fylkesutvalget eller en eller flere særskilte klagenemnder oppnevnt av kommunestyret eller fylkestinget. Departementet er likevel klageinstans når vedtak er truffet av kommunestyret eller fylkestinget. Vedkommende statlige organ er klageinstans når vedtak er truffet i henhold til myndighet delegert fra et statlig forvaltningsorgan.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Med mindre Kongen bestemmer annerledes, kan klageinstansens vedtak i klagesak ikke påklages. Klageinstansens vedtak om å avvise klagen kan likevel påklages, unntatt:</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når også underinstansen traff vedtak om å avvise klagen,</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når underinstansen har prøvd avvisningsspørsmålet og kommet til at vilkårene for realitetsbehandling er til stede,</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når Kongen vil være klageinstans,</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når klagen er avvist av en uavhengig klagenemnd.</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lastRenderedPageBreak/>
        <w:t>Er det klagerett over et vedtak om å avvise en klage som er truffet av et kommunalt eller fylkeskommunalt organ som klageinstans, går klagen til fylkesmannen.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For særskilte saksområder kan Kongen fastsette klageregler som utfyller eller avviker fra reglene i dette kapittel. Forskrift som begrenser klageretten eller som ellers vesentlig endrer reglene til skade for partsinteresser, kan bare gis når tungtveiende grunner taler for det.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19 juni 1969 nr. 54, 27 mai 1977 nr. 40, 25 sep 1992 nr. 107, 10 jan 1997 nr. 8 (i kraft 1 mars 1997), 27 juni 2003 nr. 66 (se dens II – i kraft 1 aug 2003 iflg. res. 27 juni 2003 nr. 773).</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29.</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(klagefrist).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Fristen for å klage er 3 uker fra det tidspunkt underretning om vedtaket er kommet frem til vedkommende part. Skjer underretningen ved offentlig kunngjøring, begynner klagefristen å løpe fra den dag vedtaket første gang ble kunngjort.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For den som ikke har mottatt underretning om vedtaket, løper fristen fra det tidspunkt han har fått eller burde ha skaffet sig kjennskap til vedtaket. Ved vedtak som går ut på å tilstå noen en rettighet, skal klagefristen for andre likevel senest løpe ut når det er gått 3 måneder fra det tidspunkt vedtaket ble truffet.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Har en part krevet å få oppgitt begrunnelsen for vedtaket etter § 24 annet ledd, avbrytes klagefristen. Ny klagefrist tar til å løpe fra det tidspunkt meddelelse om begrunnelse er kommet frem til ham eller han på annen måte er gjort kjent med den.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Vedkommende underinstans eller klageinstans kan i særlige tilfelle forlenge klagefristen før denne er utløpet.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30.</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(når klagen må være fremsatt).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For at klage skal være fremsatt i tide, er det nok at erklæringen før utløpet av fristen er avgitt til postoperatør som skal sørge for å få sendingen frem til forvaltningsorganet, til offentlig tjenestemann som har fullmakt til å ta imot erklæringen eller er kommet frem til den elektroniske adresse som forvaltningsorganet har oppgitt for mottak av elektroniske klager. Kommer erklæringen ikke frem, må den gjentas innen en uke etter at vedkommende har fått vite om dette eller burde ha forstått det eller – om den opprinnelige frist er kortere - innen en frist av samme lengde som denne. Fristen regnes overensstemmende med reglene i domstollovens §§ 148 og 149.</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9 jan 1998 nr. 5, 21 des 2001 nr. 117 (i kraft 1 jan 2002 iflg. res. 21 des 2001 nr. 1475).</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31.</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(oversitting av klagefristen).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Selv om klageren har oversittet klagefristen, kan klagen tas under behandling såframt</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parten eller hans fullmektig ikke kan lastes for å ha oversittet fristen eller for å ha drøyd med klage etterpå, eller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det av særlige grunner er rimelig at klagen blir prøvd.</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       Ved vurderingen av om klagen bør tas opp til behandling, skal det også legges vekt på om endring av vedtaket kan medføre skade eller ulempe for andre.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       Klagen kan ikke tas under behandling som klagesak dersom det er gått mer enn ett år siden vedtaket ble truffet.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27 mai 1977 nr. 40.</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32.</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(klagens adressat, form og innhold).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Erklæring om klage skal:</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fremsettes for det forvaltningsorgan som har truffet vedtaket; dersom muntlig klage er tillatt, skal erklæringen settes opp skriftlig av vedkommende forvaltningsorgan;</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være undertegnet av klageren eller hans fullmektig eller være autentisert som fastsatt i forskrift, eller i medhold av forskrift, jf. § 15 a;</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nevne det vedtak som det klages over, og om påkrevet gi opplysninger til bedømmelse av klagerett og av om klagefrist er overholdt;</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nevne den endring som ønskes i det vedtak det klages over.</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       Erklæringene bør også nevne de grunner klagen støtter seg til.</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Inneholder en erklæring om klage feil eller mangler, setter forvaltningsorganet en kort frist for rettelse eller utfylling.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Erklæring om klage kan fremsettes ved bruk av elektronisk kommunikasjon dersom det forvaltningsorganet som skal motta klagen, har lagt til rette for dette.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21 des 2001 nr. 117 (i kraft 1 jan 2002 iflg. res. 21 des 2001 nr. 1475).</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33.</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(saksforberedelsen i klagesak).</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Om forberedelse m.m. av klagesaker gjelder kapittel IV og V tilsvarende, når ikke annet følger av reglene i denne paragraf.</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Underinstansen skal foreta de undersøkelser klagen gir grunn til. Den kan oppheve eller endre vedtaket dersom den finner klagen begrunnet. Dersom vilkårene for å behandle klagen ikke foreligger, skal underinstansen avvise saken, jfr. dog § 31.</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Når noen reknes som motpart i saken skal underinstansen varsle vedkommende snarest mulig, jfr. likevel § 16 tredje ledd. Samtidig skal settes frist for å gi uttalelse. Varsles klagemotparten ved brev, skal kopi av klagen vedlegges med mindre parten etter § 19 kan nektes adgang til den.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Blir det ikke truffet avgjørelse som nevnt i annet ledd, skal sakens dokumenter sendes klageinstansen så snart saken er tilrettelagt. Dersom underinstansen gir til klageinstansen uttalelse som partene kan kreve å få se uten hinder av § 19, skal den sende kopi til partene med mindre Kongen er klageinstans.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Klageinstansen skal påse at saken er så godt opplyst som mulig før vedtak treffes. Den kan pålegge underinstansen å foreta nærmere undersøkelser m.m.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27 mai 1977 nr. 40.</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34.</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(klageinstansens kompetanse).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Dersom vilkårene for å behandle klagen ikke foreligger, skal klageinstansen avvise saken, jfr. dog § 31. Klageinstansen er ikke bundet av at underinstansen har ansett vilkårene for å foreligge.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       Tas klagen under behandling, kan klageinstansen prøve alle sider av saken og herunder ta hensyn til nye omstendigheter. Den skal vurdere de synspunkter som klageren kommer med, og kan også ta opp forhold som ikke er berørt av ham. Der statlig organ er klageinstans for vedtak truffet av en kommune eller fylkeskommune, skal klageinstansen legge vekt på hensynet til det kommunale selvstyre ved prøving av det frie skjønn.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Vedtaket kan ikke endres til skade for klageren, med mindre dennes interesser finnes å måtte vike for omsynet til andre privatpersoner eller offentlige interesser. Melding om slik endring må være sendt klageren innen 3 måneder etter at underinstansen mottok klagen. Begrensningene i første og annet punktum gjelder likevel ikke når vedtaket også er påklaget av en annen klager, og dennes klage finnes begrunnet.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Klageinstansen kan selv treffe nytt vedtak i saken eller oppheve det og sende saken tilbake til underinstansen til helt eller delvis ny behandling.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27 mai 1977 nr. 40, 12 jan 1995 nr. 4 (i kraft 1 april 1995), 10 jan 1997 nr. 7 (i kraft 1 mars 1997), 26 juni 1998 nr. 46.</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35.</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(omgjøring av vedtak uten klage).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Et forvaltningsorgan kan omgjøre sitt eget vedtak uten at det er påklaget dersom</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endringen ikke er til skade for noen som vedtaket retter seg mot eller direkte tilgodeser eller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underretning om vedtaket ikke er kommet fram til vedkommende og vedtaket heller ikke er offentlig kunngjort, eller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vedtaket må anses ugyldig.</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       Foreligger vilkårene etter første ledd, kan vedtaket omgjøres også av klageinstansen eller av annet overordnet organ.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Dersom hensynet til andre privatpersoner eller offentlige interesser tilsier det, kan klageinstans eller overordnet myndighet omgjøre underordnet organs vedtak til skade for den som vedtaket retter seg mot eller direkte tilgodeser, selv om vilkårene etter første ledd bokstav b eller c ikke foreligger. Melding om at vedtaket vil bli overprøvd, må i så fall sendes ham innen tre uker etter at det ble sendt melding om vedtaket, og melding om at vedtaket er omgjort må sendes ham innen tre måneder etter samme tidspunkt. Gjelder det overprøving av vedtak i klagesak, må melding om at vedtaket er omgjort likevel sendes vedkommende innen tre uker.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Annet og tredje ledd gjelder ikke for kommunale, fylkeskommunale eller statlige organer som er klageinstans etter § 28 annet ledd første eller annet punktum. Statlige klageinstanser kan likevel oppheve vedtak som må anses ugyldige.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 begrensninger i adgangen til å omgjøre et vedtak som er forutsatt i første, annet og tredje ledd, gjelder ikke når endringsadgangen følger av annen lov, av vedtaket selv eller av alminnelige forvaltningsrettslige regler.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27 mai 1977 nr. 40, 25 sep 1992 nr. 107.</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36.</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(sakskostnader).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       Når et vedtak blir endret til gunst for en part, skal han tilkjennes dekning for vesentlige kostnader som har vært nødvendige for å få endret vedtaket, med mindre endringen skyldes partens eget forhold eller forhold utenfor partens og forvaltningens kontroll, eller andre særlige forhold taler mot det.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I sak som vesentlig er en tvist mellom parter, kan den part som har satt fram krav om endring av et vedtak, men ikke har fått medhold i spørsmål av noen betydning, pålegges å betale den annen part helt eller delvis de særlige sakskostnader som kravet har ført med seg. Det skal legges vekt på om vedkommende hadde fyldestgjørende grunn til å kreve endring av vedtaket, om det er rimelig ut fra sakens art og motpartens forhold å pålegge kostnadsansvar.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Spørsmålet om en part skal få dekning for sakskostnader, avgjøres av klageinstansen, men av underinstansen dersom underinstansen har truffet nytt vedtak i saken. Det organ som treffer avgjørelsen, er ansvarlig for at det offentliges utgifter etter første ledd blir dekket, men har kostnadsansvaret sitt grunnlag i mangel ved vedtaket eller saksforberedelsen, kan fastsettes at ansvaret helt eller delvis skal ligge hos det eller de avgjørsorganer som var ansvarlig for mangelen. Kravet må settes fram senest 3 uker etter at melding om det nye vedtak er kommet fram til vedkommende, dog gjelder § 29 fjerde ledd samt §§ 30-32 tilsvarende. Avgjørelsen kan påklages etter reglene i dette kapittel om ikke annet er fastsatt av Kongen. For særskilte saksområder kan Kongen fastsette klageregler som utfyller eller avviker fra disse regler, herunder om klage når avgjørelsen er tatt av kommunestyreorgan som nevnt i § 28 annet ledd. Sakskostnader som er tilkjent en part etter reglene i annet ledd, kan tvangsinndrives etter reglene for dommer.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Dersom vedtaket er blitt endret, skal parten gjøres merksam på retten til å kreve dekning for sakskostnader, med mindre det er usannsynlig at han har hatt vesentlige sakskostnader eller det må antas at han eller hans fullmektig kjenner retten. Dersom det i andre tilfelle finnes rimelig at spørsmålet om dekning for sakskostnader blir vurdert, bør parten gis nødvendig vegledning.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Tilføyd ved lov 19 juni 1969 nr. 54, endret ved lover 27 mai 1977 nr. 40, 12 jan 1995 nr. 4 (i kraft 1 april 1995).</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64" w:name="map007"/>
      <w:bookmarkEnd w:id="64"/>
      <w:r w:rsidRPr="007840B0">
        <w:rPr>
          <w:rFonts w:ascii="Arial" w:eastAsia="Times New Roman" w:hAnsi="Arial" w:cs="Arial"/>
          <w:b/>
          <w:bCs/>
          <w:color w:val="CC052B"/>
          <w:sz w:val="24"/>
          <w:szCs w:val="24"/>
          <w:lang w:eastAsia="nb-NO"/>
        </w:rPr>
        <w:t>Kapittel VII. Om forskrifter.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37.</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(utredningsplikt, forhåndsvarsling og uttalelser fra interesserte).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Forvaltningsorganet skal påse at saken er så godt opplyst som mulig før vedtak treffes.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Offentlige og private institusjoner og organisasjoner for de erverv, fag eller interessegrupper som forskriftene skal gjelde eller gjelder for eller hvis interesser særlig berøres, skal gis anledning til å uttale sig før forskriften blir utferdiget, endret eller opphevet. Så langt det trenges for å få saken allsidig opplyst, skal uttalelse også søkes innhentet fra andre.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Forvaltningsorganet bestemmer på hvilken måte forhåndsvarslingen skal foregå og kan sette frist for å gi uttalelse.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Forhåndsvarsling kan unnlates forsåvidt den:</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ikke vil være praktisk gjennomførlig, eller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kan vanskeliggjøre gjennomføring av forskriften eller svekke dens effektivitet, eller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lastRenderedPageBreak/>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må anses åpenbart unødvendig.</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       Uttalelser skal gis skriftlig. Forvaltningsorganet kan i den enkelte sak samtykke i at uttalelse gis muntlig. Når saken egner sig for det, kan forvaltningsorganet bestemme at forhandlinger om saken skal foregå i møte.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19 juni 1969 nr. 54 (tidligere §§ 36 og 37).</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38.</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(formkrav og kunngjøring).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En forskrift skal:</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inneholde en utrykkelig</w:t>
            </w:r>
            <w:r w:rsidRPr="007840B0">
              <w:rPr>
                <w:rFonts w:ascii="Times New Roman" w:eastAsia="Times New Roman" w:hAnsi="Times New Roman" w:cs="Times New Roman"/>
                <w:sz w:val="24"/>
                <w:szCs w:val="24"/>
                <w:vertAlign w:val="superscript"/>
                <w:lang w:eastAsia="nb-NO"/>
              </w:rPr>
              <w:t>1</w:t>
            </w:r>
            <w:r w:rsidRPr="007840B0">
              <w:rPr>
                <w:rFonts w:ascii="Times New Roman" w:eastAsia="Times New Roman" w:hAnsi="Times New Roman" w:cs="Times New Roman"/>
                <w:sz w:val="24"/>
                <w:szCs w:val="24"/>
                <w:lang w:eastAsia="nb-NO"/>
              </w:rPr>
              <w:t> henvisning til den eller de bestemmelser som gir forvaltningsorganet hjemmel til å utferdige forskriften, og en henvisning i samsvar med EØS-høringsloven § 12 hvis forskriften inneholder tekniske regler i henhold til nevnte lov.</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nevne det forvaltningsorgan som har gitt forskriften;</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kunngjøres i Norsk Lovtidend;</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i kunngjøringen betegnes som forskrift.</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       Når praktiske hensyn gjør det hensiktsmessig, kan kunngjøringen begrenses til en kort omtale av forskriften med opplysning om hvor teksten kan fåes eller finnes.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Knytter en forskrift seg til en bestemt hendelse eller skal den ellers gjelde for bare kort tid, og kunngjøring som nevnt i første ledd bokstav c ikke er formålstjenlig, kan kunngjøring i stedet foregå på annen måte. Det samme kan Kongen bestemme for saksområder eller tilfelle for øvrig der kunngjøring etter reglene i første ledd bokstav c ikke er formålstjenlig på grunn av forskriftens art, innhold eller virkefelt.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Kongen kan fastsette retningslinjer for anvendelsen av annet og tredje ledd og kan bestemme at forskrifter skal holdes alment tilgjengelige.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19 juni 1969 nr. 54, 17 des 2004 nr. 101 (i kraft 1 jan 2005 iflg. res. 17 des 2004 nr. 1675).</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17"/>
                <w:szCs w:val="17"/>
                <w:lang w:eastAsia="nb-NO"/>
              </w:rPr>
              <w:t>1</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17"/>
                <w:szCs w:val="17"/>
                <w:lang w:eastAsia="nb-NO"/>
              </w:rPr>
              <w:t>Skal vel være «uttrykkelig».</w:t>
            </w:r>
          </w:p>
        </w:tc>
      </w:tr>
    </w:tbl>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39.</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(virkning av forsømt kunngjøring).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En forskrift kan ikke påberopes overfor den enkelte før den er kunngjort som fastsatt i § 38, med mindre det påvises enten at forvaltningsorganet på annen forsvarlig måte har gjort forskriften kjent for offentligheten eller for vedkommende erverv, fag, interessegruppe eller for den forskriften påberopes overfor, eller at vedkommende har fått kjennskap til forskriften.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40.</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(adgangen til å fravike forskrifter).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En forskrift kan ikke fravikes av et forvaltningsorgan, med mindre forskriften eller vedkommende hjemmelslov gir adgang til det.</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65" w:name="map008"/>
      <w:bookmarkEnd w:id="65"/>
      <w:r w:rsidRPr="007840B0">
        <w:rPr>
          <w:rFonts w:ascii="Arial" w:eastAsia="Times New Roman" w:hAnsi="Arial" w:cs="Arial"/>
          <w:b/>
          <w:bCs/>
          <w:color w:val="CC052B"/>
          <w:sz w:val="24"/>
          <w:szCs w:val="24"/>
          <w:lang w:eastAsia="nb-NO"/>
        </w:rPr>
        <w:t>Kapittel VIII. Bestemmelser om virkningen av feil, om utsatt iverksetting av vedtak og om ikrafttredelse.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Overskriften endret ved lov 27 mai 1977 nr. 40.</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41.</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(virkningen av feil ved behandlingsmåten).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       Er reglene om behandlingsmåten i denne lov eller forskrifter gitt i medhold av loven ikke overholdt ved behandlingen av en sak som gjelder enkeltvedtak, er vedtaket likevel gyldig når det er grunn til å regne med at feilen ikke kan ha virket bestemmende på vedtakets innhold.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66" w:name="42"/>
      <w:bookmarkEnd w:id="66"/>
      <w:r w:rsidRPr="007840B0">
        <w:rPr>
          <w:rFonts w:ascii="Arial" w:eastAsia="Times New Roman" w:hAnsi="Arial" w:cs="Arial"/>
          <w:b/>
          <w:bCs/>
          <w:color w:val="000000"/>
          <w:sz w:val="24"/>
          <w:szCs w:val="24"/>
          <w:lang w:eastAsia="nb-NO"/>
        </w:rPr>
        <w:t>§ 42.</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(utsatt iverksetting av vedtak).</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Underinstansen, klageinstans eller annet overordnet organ kan beslutte at vedtak ikke skal iverksettes før klagefristen er ute eller klagen er avgjort. Når en part eller en annen med rettslig klageinteresse akter å gå til søksmål eller har reist søksmål for å få vedtaket prøvd ved domstol, kan organ som nevnt utsette iverksettingen til det foreligger endelig dom. Det samme gjelder når en part eller en annen med rettslig klageinteresse akter å bringe eller har brakt en sak inn for Stortingets ombudsmann for forvaltningen. Anmodninger om utsetting skal avgjøres snarest mulig. For øvrig gjelder det som er bestemt i annen lovgivning om utsettende virkning av klage, søksmål m.m.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kan settes vilkår for utsettingen. Avslag på anmodning om utsetting skal være grunngitt. Begrunnelse skal gis samtidig med avslaget.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27 mai 1977 nr. 40, 12 jan 1995 nr. 4 (i kraft 1 april 1995).</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67" w:name="43"/>
      <w:bookmarkEnd w:id="67"/>
      <w:r w:rsidRPr="007840B0">
        <w:rPr>
          <w:rFonts w:ascii="Arial" w:eastAsia="Times New Roman" w:hAnsi="Arial" w:cs="Arial"/>
          <w:b/>
          <w:bCs/>
          <w:color w:val="000000"/>
          <w:sz w:val="24"/>
          <w:szCs w:val="24"/>
          <w:lang w:eastAsia="nb-NO"/>
        </w:rPr>
        <w:t>§ 43.</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(ikrafttredelse).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Tidspunktet for lovens ikrafttredelse fastsettes ved særskilt lov.</w:t>
      </w:r>
      <w:r w:rsidRPr="007840B0">
        <w:rPr>
          <w:rFonts w:ascii="Arial" w:eastAsia="Times New Roman" w:hAnsi="Arial" w:cs="Arial"/>
          <w:color w:val="000000"/>
          <w:sz w:val="24"/>
          <w:szCs w:val="24"/>
          <w:vertAlign w:val="superscript"/>
          <w:lang w:eastAsia="nb-NO"/>
        </w:rPr>
        <w:t>1</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17"/>
                <w:szCs w:val="17"/>
                <w:lang w:eastAsia="nb-NO"/>
              </w:rPr>
              <w:t>1</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17"/>
                <w:szCs w:val="17"/>
                <w:lang w:eastAsia="nb-NO"/>
              </w:rPr>
              <w:t>Ved lov av 19 juni 1969 nr. 54 fastsatt til 1 jan 1970. – Om anvendelse av loven på eldre forskrifter se lov 19 juni 1969 nr. 54 og forskrift 16 des 1977 nr. 12.</w:t>
            </w:r>
          </w:p>
        </w:tc>
      </w:tr>
    </w:tbl>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Pr="007840B0" w:rsidRDefault="007840B0" w:rsidP="007840B0">
      <w:pPr>
        <w:pStyle w:val="ListParagraph"/>
        <w:numPr>
          <w:ilvl w:val="0"/>
          <w:numId w:val="1"/>
        </w:numPr>
        <w:spacing w:before="100" w:beforeAutospacing="1" w:after="100" w:afterAutospacing="1" w:line="240" w:lineRule="auto"/>
        <w:jc w:val="center"/>
        <w:outlineLvl w:val="2"/>
        <w:rPr>
          <w:rFonts w:ascii="Arial" w:eastAsia="Times New Roman" w:hAnsi="Arial" w:cs="Arial"/>
          <w:b/>
          <w:bCs/>
          <w:color w:val="CC052B"/>
          <w:sz w:val="144"/>
          <w:szCs w:val="144"/>
          <w:lang w:eastAsia="nb-NO"/>
        </w:rPr>
      </w:pPr>
      <w:r w:rsidRPr="007840B0">
        <w:rPr>
          <w:rFonts w:ascii="Arial" w:eastAsia="Times New Roman" w:hAnsi="Arial" w:cs="Arial"/>
          <w:b/>
          <w:bCs/>
          <w:color w:val="CC052B"/>
          <w:sz w:val="144"/>
          <w:szCs w:val="144"/>
          <w:lang w:eastAsia="nb-NO"/>
        </w:rPr>
        <w:t>Ny Lov -</w:t>
      </w:r>
    </w:p>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r w:rsidRPr="007840B0">
        <w:rPr>
          <w:rFonts w:ascii="Arial" w:eastAsia="Times New Roman" w:hAnsi="Arial" w:cs="Arial"/>
          <w:b/>
          <w:bCs/>
          <w:color w:val="CC052B"/>
          <w:sz w:val="24"/>
          <w:szCs w:val="24"/>
          <w:lang w:eastAsia="nb-NO"/>
        </w:rPr>
        <w:lastRenderedPageBreak/>
        <w:t>Lov om rett til innsyn i dokument i offentleg verksemd (offentleglova).</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Sjå </w:t>
      </w:r>
      <w:r w:rsidRPr="007840B0">
        <w:rPr>
          <w:rFonts w:ascii="Arial" w:eastAsia="Times New Roman" w:hAnsi="Arial" w:cs="Arial"/>
          <w:i/>
          <w:iCs/>
          <w:color w:val="000000"/>
          <w:sz w:val="17"/>
          <w:szCs w:val="17"/>
          <w:lang w:eastAsia="nb-NO"/>
        </w:rPr>
        <w:t>tidlegare</w:t>
      </w:r>
      <w:r w:rsidRPr="007840B0">
        <w:rPr>
          <w:rFonts w:ascii="Arial" w:eastAsia="Times New Roman" w:hAnsi="Arial" w:cs="Arial"/>
          <w:color w:val="000000"/>
          <w:sz w:val="17"/>
          <w:szCs w:val="17"/>
          <w:lang w:eastAsia="nb-NO"/>
        </w:rPr>
        <w:t> lov 19 juni 1970 nr. 69 om offentlighet i forvaltningen (offentlighetsloven).</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r w:rsidRPr="007840B0">
        <w:rPr>
          <w:rFonts w:ascii="Arial" w:eastAsia="Times New Roman" w:hAnsi="Arial" w:cs="Arial"/>
          <w:b/>
          <w:bCs/>
          <w:color w:val="CC052B"/>
          <w:sz w:val="24"/>
          <w:szCs w:val="24"/>
          <w:lang w:eastAsia="nb-NO"/>
        </w:rPr>
        <w:t>Kapittel 1. Innleiande føresegner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Formål</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Formålet med lova er å leggje til rette for at offentleg verksemd er open og gjennomsiktig, for slik å styrkje informasjons- og ytringsfridommen, den demokratiske deltakinga, rettstryggleiken for den enkelte, tilliten til det offentlege og kontrollen frå ålmenta. Lova skal òg leggje til rette for vidarebruk av offentleg informasjon.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Verkeområdet til lova</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Lova gjeld for</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staten, fylkeskommunane og kommunane,</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andre rettssubjekt i saker der dei gjer enkeltvedtak eller utferdar forskrift,</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sjølvstendige rettssubjekt der stat, fylkeskommune eller kommune direkte eller indirekte har ein eigardel som gir meir enn halvparten av røystene i det øvste organet i rettssubjektet, og</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sjølvstendige rettssubjekt der stat, fylkeskommune eller kommune direkte eller indirekte har rett til å velje meir enn halvparten av medlemmene med røysterett i det øvste organet i rettssubjektet.</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Bokstavane c og d gjeld ikkje rettssubjekt som hovudsakleg driv næring i direkte konkurranse med og på same vilkår som private. For verksemder som etter offentleg oppkjøp eller liknande kjem inn under bokstavane c eller d, gjeld lova frå og med fjerde månadsskiftet etter den månaden da vilkåra vart oppfylte.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Kongen kan gi forskrift om at lova ikkje skal gjelde for sjølvstendige rettssubjekt eller for visse dokument hos sjølvstendige rettssubjekt som er omfatta av første ledd bokstavane c eller d, dersom det må reknast som nødvendig ut frå omsynet til arten av verksemda, konkurransesituasjonen eller andre særlege tilhøve. Det same gjeld dersom det gjeld unntak frå innsynsretten for det alt vesentlege av dokumenta til verksemda og særlege tungtvegande omsyn tilseier det. Kongen kan gi forskrift om at lova heilt eller delvis skal gjelde for sjølvstendige rettssubjekt som er knytte til stat eller kommune utan å oppfylle vilkåra i første ledd bokstav c eller d, eller som er unnatekne etter første ledd andre punktum.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Lova gjeld ikkje for Stortinget, Riksrevisjonen, Stortingets ombodsmann for forvaltninga og andre organ for Stortinget.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Lova gjeld ikkje for gjeremål som domstolane har etter rettsstellovene. Lova gjeld heller ikkje for gjeremål som andre organ har etter rettsstellovene i eigenskap av rettsstellorgan. Lova gjeld dessutan ikkje for gjeremål som politiet og påtalemakta har etter straffeprosessloven. Kongen kan gi forskrifter om kva lover som skal reknast som rettsstellover, og om at enkelte gjeremål etter rettsstellovene likevel skal vere omfatta av lova.</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Lova gjeld for Svalbard dersom ikkje anna blir fastsett av Kongen.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       Føresegnene i § 6, § 7 andre ledd, § 8 tredje ledd andre punktum og fjerde og femte ledd og § 30 første ledd tredje punktum og andre ledd gjeld uavhengig av føresegnene i paragrafen her for alle verksemder som er omfatta av EØS-avtalen vedlegg XI nr. 5k (direktiv 2003/98/EF) om vidarebruk av informasjon frå offentleg sektor.</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r w:rsidRPr="007840B0">
        <w:rPr>
          <w:rFonts w:ascii="Arial" w:eastAsia="Times New Roman" w:hAnsi="Arial" w:cs="Arial"/>
          <w:b/>
          <w:bCs/>
          <w:color w:val="CC052B"/>
          <w:sz w:val="24"/>
          <w:szCs w:val="24"/>
          <w:lang w:eastAsia="nb-NO"/>
        </w:rPr>
        <w:t>Kapittel 2. Hovudreglane om innsyn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Hovudregel</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Saksdokument, journalar og liknande register for organet er opne for innsyn dersom ikkje anna følgjer av lov eller forskrift med heimel i lov. Alle kan krevje innsyn i saksdokument, journalar og liknande register til organet hos vedkommande organ.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4.</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Definisjonar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Med dokument er meint ei logisk avgrensa informasjonsmengd som er lagra på eit medium for seinare lesing, lytting, framsyning, overføring eller liknande.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Saksdokument for organet er dokument som er komne inn til eller lagde fram for eit organ, eller som organet sjølv har oppretta, og som gjeld ansvarsområdet eller verksemda til organet. Eit dokument er oppretta når det er sendt ut av organet. Dersom dette ikkje skjer, skal dokumentet reknast som oppretta når det er ferdigstilt.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Følgjande skal ikkje reknast som saksdokument for organet:</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dokument som inngår i bibliotek- eller museumssamling,</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dokument som private har overlate til offentleg arkiv for bevaring,</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dokument som er overlate til eit organ for offentleggjering i periodisk skrift som blir gitt ut av organet,</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avis, tidsskrift, reklamemateriell og liknande som organet mottek utan at det er knytt til ei bestemt sak i organet, og</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e)</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dokument som ein medarbeidar i organet har motteke i annan eigenskap enn som tilsett i organet.</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       Omgrepet organ femner i lova her om alle verksemder som lova gjeld for.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5.</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Utsett innsyn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Organet kan fastsetje at det i ei bestemt sak først skal vere innsyn frå eit seinare tidspunkt i saksførebuinga enn det som følgjer av §§ 3 og 4, såframt det er grunn til å tru at dei dokumenta som ligg føre, gir eit direkte misvisande bilete av saka, og at innsyn derfor kan skade klare samfunnsmessige eller private interesser.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For dokument som er utarbeidde av eller til Riksrevisjonen i saker som han vurderer å leggje fram for Stortinget som ledd i den konstitusjonelle kontrollen, gjeld innsyn først når saka er motteken i Stortinget, eller når Riksrevisjonen har varsla vedkommande organ om at saka er ferdigbehandla, jf. lov 7. mai 2004 nr. 21 om Riksrevisjonen § 18 andre ledd.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Dersom vesentlege private eller offentlege omsyn tilseier det, kan innsyn i eit dokument utsetjast til det har komme fram til den det vedkjem, eller hendinga der det skal offentleggjerast, har funne stad.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lastRenderedPageBreak/>
        <w:t>§ 6.</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Forbod mot forskjellsbehandling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Ved behandling av saker etter lova her eller i andre tilfelle der det blir gitt tilgang til informasjon, er det ikkje høve til noka slags forskjellsbehandling mellom samanliknbare tilfelle eller til å avtale at nokon skal ha einerett på tilgang til informasjon. At ein førespurnad er sett fram av ei offentleg eller offentleg tilknytt verksemd, gir ikkje høve til forskjellsbehandling når formålet med førespurnaden ikkje har samanheng med dei offentlege gjeremåla til verksemda.</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Forbodet i første ledd er ikkje til hinder for at det kan gjerast avtalar om einerett dersom det er nødvendig for å levere ei teneste i ålmenta si interesse. Det skal gjerast ei ny vurdering av grunngivinga for å gjere slike avtalar kvart tredje år. Avtalar om einerett som blir gjorde i medhald av leddet her, skal vere offentlege. Det kan ikkje gjerast avtalar om einerett til tilgang til informasjon som ålmenta etter føresegner i lov eller forskrift har eit rettskrav på å få innsyn i.</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Dersom ikkje anna blir fastsett av Kongen i forskrift, gjeld føresegnene i paragrafen her berre for verksemder som er omfatta av EØS-avtalen vedlegg XI nr. 5k (direktiv 2003/98/EF) om vidarebruk av informasjon frå offentleg sektor.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7.</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Bruk av offentleg informasjon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Informasjon som det er gitt tilgang til etter lova her eller anna lovgiving som gir ålmenta rett til innsyn i offentleg verksemd, kan brukast til eitkvart formål dersom ikkje anna lovgiving eller retten til ein tredjeperson er til hinder for det.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I verksemder som er omfatta av EØS-avtalen vedlegg XI nr. 5k (direktiv 2003/98/EF) om vidarebruk av informasjon frå offentleg sektor, skal eventuelle standardlisensar om bruk av offentleg informasjon vere tilgjengelege i digitalt format, og dei må kunne behandlast elektronisk. Kongen kan i forskrift fastsetje at det same skal gjelde for verksemder som ikkje er omfatta av EØS-avtalen vedlegg XI nr. 5k (direktiv 2003/98/EF) om vidarebruk av informasjon frå offentleg sektor.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8.</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Hovudregel om gratis innsyn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Organet kan berre krevje betaling for innsyn etter denne lova dersom det har heimel i forskrift etter andre eller tredje ledd.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Kongen kan gi forskrift om betaling for avskrifter, utskrifter eller kopiar. Betalingssatsane skal vere slik at dei samla inntektene ikkje blir større enn dei faktiske kostnadene ved kopiering og utsending av dokument.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Kongen kan gi forskrift om at det kan krevjast betaling for dokument dersom særlege tilhøve ved arten til dokumenta eller verksemda gjer det rimeleg. Betalingssatsane skal fastsetjast slik at dei samla inntektene ikkje blir større enn dei faktiske kostnadene ved innsamling, produksjon, reproduksjon og formidling av informasjonen, med tillegg av ei rimeleg avkastning av investeringane.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For verksemder som fell utanfor lova her, men som er omfatta av anna lovgiving som gir ålmenta innsyn i offentleg verksemd, eller av EØS-avtalen vedlegg XI nr. 5k (direktiv 2003/98/EF) om vidarebruk av informasjon frå offentleg sektor, må dei samla inntektene ved informasjonsutlevering ikkje overstige dei faktiske kostnadene ved innsamling, produksjon, reproduksjon og formidling av informasjonen, med tillegg av ei rimeleg avkastning av investeringane.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       Verksemder som krev betaling for informasjon, skal offentleggjere betalingssatsane i elektronisk form dersom det er mogleg og formålstenleg. På førespurnad skal verksemdene også gi opplysningar om grunnlaget for utrekning av satsane og eventuelt om kva faktorar som vil bli lagde til grunn for utrekninga i særlege høve.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Dersom ikkje anna blir fastsett av Kongen i forskrift, gjeld føresegnene i tredje ledd andre punktum og i fjerde og femte ledd berre for verksemder som er omfatta av EØS-avtalen vedlegg XI nr. 5k (direktiv 2003/98/EF) om vidarebruk av informasjon frå offentleg sektor.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9.</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Rett til å krevje innsyn i ei samanstilling frå databasar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Alle kan krevje innsyn i ei samanstilling av opplysningar som er elektronisk lagra i databasane til organet dersom samanstillinga kan gjerast med enkle framgangsmåtar.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10.</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Plikt til å føre journal. Tilgjengeleggjering av journalar og dokument på Internett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Organet skal føre journal etter reglane i arkivlova med forskrifter.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Kongen kan gi forskrift om at organ som fører elektronisk journal, skal gjere han allment tilgjengeleg på Internett, og om korleis det skal gjerast.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Organ som er omfatta av lova her, kan gjere dokument allment tilgjengelege på Internett, med unntak for opplysningar som er underlagde teieplikt i lov eller i medhald av lov. Kongen kan gi forskrift om tilgjengeleggjering av dokument på Internett og om at visse typar personopplysningar, jf. personopplysningsloven § 2 nr. 1, og dokument som ein tredjeperson har immaterielle rettar til, ikkje skal gjerast tilgjengelege på denne måten.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11.</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Meirinnsyn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Når det er høve til å gjere unntak frå innsyn, skal organet likevel vurdere å gi heilt eller delvis innsyn. Organet bør gi innsyn dersom omsynet til offentleg innsyn veg tyngre enn behovet for unntak.</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12.</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Unntak for resten av dokumentet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Når organet gjer unntak frå innsyn for delar av eit dokument, kan det også gjere unntak for resten av dokumentet dersom</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desse delane aleine vil gi eit klart misvisande inntrykk av innhaldet,</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det vil vere urimeleg arbeidskrevjande for organet å skilje dei ut, eller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dei unnatekne opplysningane utgjer den vesentlegaste delen av dokumentet.</w:t>
            </w:r>
          </w:p>
        </w:tc>
      </w:tr>
    </w:tbl>
    <w:p w:rsidR="007840B0" w:rsidRPr="007840B0" w:rsidRDefault="007840B0" w:rsidP="007840B0">
      <w:pPr>
        <w:spacing w:before="100" w:beforeAutospacing="1" w:after="100" w:afterAutospacing="1" w:line="240" w:lineRule="auto"/>
        <w:outlineLvl w:val="2"/>
        <w:rPr>
          <w:rFonts w:ascii="Times New Roman" w:eastAsia="Times New Roman" w:hAnsi="Times New Roman" w:cs="Times New Roman"/>
          <w:b/>
          <w:bCs/>
          <w:color w:val="CC052B"/>
          <w:sz w:val="24"/>
          <w:szCs w:val="24"/>
          <w:lang w:eastAsia="nb-NO"/>
        </w:rPr>
      </w:pPr>
      <w:r w:rsidRPr="007840B0">
        <w:rPr>
          <w:rFonts w:ascii="Arial" w:eastAsia="Times New Roman" w:hAnsi="Arial" w:cs="Arial"/>
          <w:b/>
          <w:bCs/>
          <w:color w:val="CC052B"/>
          <w:sz w:val="24"/>
          <w:szCs w:val="24"/>
          <w:lang w:eastAsia="nb-NO"/>
        </w:rPr>
        <w:t>Kapittel 3. Unntak frå innsynsretten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13.</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Opplysningar som er underlagde teieplikt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Opplysningar som er underlagde teieplikt i lov eller i medhald av lov, er unnatekne frå innsyn.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       Føresegnene i forvaltningsloven om teieplikt gir sjølvstendige rettssubjekt som er nemnde i § 2 første ledd bokstav c eller d i lova her, høve til å gjere unntak for dokument og opplysningar i same omfang som dei gir forvaltningsorgan det.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Gjeld innsynskravet eit dokument som inneheld opplysningar som er underlagde teieplikt, og denne plikta fell bort dersom den som har krav på tystnad samtykkjer, skal innsynskravet saman med ei eventuell grunngiving på oppmoding leggjast fram for vedkommande med ein høveleg frist til å svare. Svarar vedkommande ikkje, skal dette reknast som nekting av samtykke.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14.</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Dokument utarbeidde for eiga saksførebuing (organinterne dokument)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Eit organ kan gjere unntak frå innsyn for dokument som organet har utarbeidd for si eiga interne saksførebuing.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Første ledd gjeld ikkje: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dokument eller del av dokument som inneheld den endelege avgjerda til organet i ei sak,</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generelle retningslinjer for saksbehandlinga til organet,</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føredrag til saker som er avgjorde av Kongen i statsråd, og</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presedenskort og liknande, men ikkje dersom kortet gjengir organinterne vurderingar.</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       Kongen kan gi forskrift om at det ikkje skal kunne gjerast unntak etter første ledd i paragrafen her for bestemte dokument i bestemte statlege eller statleg tilknytte organ.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15.</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Dokument innhenta utanfrå for den interne saksførebuinga</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Når det er nødvendig for å sikre forsvarlege interne avgjerdsprosessar, kan organet gjere unntak frå innsyn for dokument som organet har innhenta frå eit underordna organ til bruk i den interne saksførebuinga si. Det same gjeld dokument som eit departement har innhenta frå eit anna departement til bruk i den interne saksførebuinga si.</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kan vidare gjerast unntak for delar av dokument som inneheld råd om og vurderingar av korleis eit organ bør stille seg i ei sak, og som organet har innhenta til bruk for den interne saksførebuinga si, når det er påkravd av omsyn til ei forsvarleg ivaretaking av det offentlege sine interesser i saka.</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Unntaka i paragrafen her gjeld tilsvarande for dokument om innhenting av dokument som er nemnde i første og andre ledd, og innkallingar til og referat frå møte mellom overordna og underordna organ, mellom departement og mellom eit organ og nokon som gir råd eller vurderingar som er nemnde i andre ledd.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Paragrafen her gjeld ikkje for dokument som blir innhenta som ledd i allmenn høyring i ei sak.</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16.</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Innsyn i interne dokument hos kommunane og fylkeskommunane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Unntaka i §§ 14 og 15 gjeld ikkje: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saksframlegg med vedlegg til eit kommunalt eller fylkeskommunalt folkevalt organ,</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sakliste til møte i folkevalde organ i kommunar og fylkeskommunar,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 xml:space="preserve">dokument frå eller til kommunale og fylkeskommunale kontrollutval, revisjonsorgan og </w:t>
            </w:r>
            <w:r w:rsidRPr="007840B0">
              <w:rPr>
                <w:rFonts w:ascii="Times New Roman" w:eastAsia="Times New Roman" w:hAnsi="Times New Roman" w:cs="Times New Roman"/>
                <w:sz w:val="24"/>
                <w:szCs w:val="24"/>
                <w:lang w:eastAsia="nb-NO"/>
              </w:rPr>
              <w:lastRenderedPageBreak/>
              <w:t>klagenemnder, og</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dokument i saker der ei kommunal eller fylkeskommunal eining opptrer som ekstern part i høve til ei anna slik eining.</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 14 gjeld likevel for dokument som blir utveksla mellom kommunale og fylkeskommunale kontrollutval og sekretariatet til utvalet.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Unntaket i § 14 gjeld ikkje for dokument frå eller til eit kommunalt eller fylkeskommunalt særlovsorgan eller eit kommunalt eller fylkeskommunalt føretak etter kommuneloven kapittel 11.</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Unntaket i § 14 gjeld heller ikkje for dokument frå eller til ei kommunal eller fylkeskommunal eining på område der einingane har sjølvstendig avgjerdsrett. Unntaket i § 14 gjeld likevel for dokument i saker der administrasjonssjefen eller kommunerådet gjennomfører kontrolltiltak overfor ei eining, og for utkast til vedtak og innstillingar som blir lagde fram for administrasjonssjefen eller kommunerådet før det blir gjort vedtak, eller før ei innstilling blir lagd fram for eit folkevalt organ. Unntaket i § 14 gjeld også for merknader frå administrasjonssjefen eller kommunerådet til slike utkast som er nemnde i førre punktum.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17.</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Unntak for visse dokument som gjeld Det Kongelege Hoff</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kan gjerast unntak frå innsyn for dokument som gjeld talar som medlemmer av kongehuset skal halde eller har halde, og for dokument som gjeld reiseprogram for medlemmer av kongehuset. Dette gjeld likevel ikkje for den endelege talen etter at han er offentleg framført, og heller ikkje for dokument som gjeld reiseprogram, etter at reisa er gjennomført eller reiseprogrammet er offentleggjort.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18.</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Unntak for rettssaksdokument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kan gjerast unntak frå innsyn for dokument som eit organ har utarbeidd eller motteke som part i ei rettssak for norsk domstol.</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19.</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Unntak for dokument som blir utveksla under konsultasjonar med Sametinget m.m.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kan gjerast unntak frå innsyn for dokument som blir utveksla mellom statlege organ og Sametinget og samiske organisasjonar som ledd i konsultasjonar i samsvar med ILO-konvensjon nr. 169 om urfolk og stammefolk i sjølvstendige statar artikkel 6. Dette gjeld ikkje dokument som blir utveksla som ledd i allmenn høyring i ei sak.</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20.</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Unntak av omsyn til Noregs utanrikspolitiske interesser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kan gjerast unntak frå innsyn for opplysningar når det er påkravd av omsyn til Noregs utanrikspolitiske interesser dersom:</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det følgjer av folkerettslege reglar at Noreg har plikt til å nekte innsyn i opplysningane,</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opplysningane er mottekne under føresetnad av eller det følgjer av fast praksis at dei ikkje skal offentleggjerast, eller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opplysningane gjeld norske forhandlingsposisjonar, forhandlingsstrategiar eller liknande og forhandlingane ikkje er avslutta. Etter at forhandlingane er avslutta, kan det framleis gjerast unntak for slike opplysningar dersom det er grunn til å tru at det vil bli teke opp igjen forhandlingar om den same saka.</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lastRenderedPageBreak/>
        <w:t>       Opplysningar i offisielle dokument som blir utveksla mellom Noreg og ein mellomstatleg organisasjon i saker som gjeld internasjonal normutvikling som kan få verknad for norsk rett, kan det gjerast unntak for etter første ledd bokstav b berre dersom det er påkravd av omsyn til tungtvegande utanrikspolitiske interesser. Det same gjeld opplysningar om norske forhandlingsposisjonar etter at posisjonane er lagde fram i forhandlingane.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I andre høve enn dei som er nemnde i første og andre ledd, kan det gjerast unntak frå innsyn for opplysningar når det er påkravd av særleg tungtvegande utanrikspolitiske interesser.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21.</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Unntak av omsyn til nasjonale forsvars- og tryggingsinteresser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kan gjerast unntak frå innsyn for opplysningar når det er påkravd av nasjonale tryggingsomsyn eller forsvaret av landet.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22.</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Unntak i visse budsjettsaker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kan gjerast unntak frå innsyn for dokument som er utarbeidde av eit departement, og som gjeld statlege budsjettsaker. Det same gjeld for opplysningar om førebelse budsjettrammer fastsette av regjering eller departement i dokument frå underliggjande organ og etatar, og frå Det Kongelege Hoff, Domstoladministrasjonen og Sametinget.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23.</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Unntak av omsyn til det offentlege sin forhandlingsposisjon m.m.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kan gjerast unntak frå innsyn for opplysningar når det er påkravd av omsyn til ei forsvarleg gjennomføring av økonomi-, lønns-, eller personalforvaltninga til organet.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kan gjerast unntak frå innsyn for opplysningar som gjeld forhandlingar om rammeavtalar med landbruks-, fiskeri- og reindriftsorganisasjonane når det er påkravd av omsyn til ei forsvarleg gjennomføring av forhandlingane.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kan gjerast unntak frå innsyn for tilbod og protokoll etter regelverk som er gitt i medhald av lov 16. juli 1999 nr. 69 om offentlege innkjøp, til valet av leverandør er gjort.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kan gjerast unntak frå innsyn for dokument som gjeld selskap der staten eller ein kommune eller fylkeskommune har eigarinteresser, og som blir behandla av vedkommande organ som eigar, dersom selskapet ikkje er omfatta av verkeområdet for lova her.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24.</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Unntak for kontroll- og reguleringstiltak, dokument om lovbrot og opplysningar som kan lette gjennomføringa av lovbrot m.m.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kan gjerast unntak frå innsyn for opplysningar når det er påkravd fordi innsyn ville motverke offentlege kontroll- eller reguleringstiltak eller andre pålegg eller forbod, eller føre til fare for at dei ikkje kan gjennomførast.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kan gjerast unntak frå innsyn for melding, tips eller liknande dokument om lovbrot frå private. Andre dokument om lovbrot, blant anna melding og tips frå offentlege organ, kan det gjerast unntak frå innsyn for inntil saka er avgjord.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       Det kan gjerast unntak frå innsyn for opplysningar når unntak er påkravd fordi innsyn ville lette gjennomføringa av straffbare handlingar. Det same gjeld opplysningar der unntak er påkravd fordi innsyn ville utsetje enkeltpersonar for fare, eller lette gjennomføringa av handlingar som kan skade delar av miljøet som er særleg utsette, eller som er trua av utrydding.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25.</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Unntak for tilsetjingssaker m.m.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kan gjerast unntak frå innsyn for dokument i sak om tilsetjing eller forfremjing i offentleg teneste.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Unntaket i første ledd gjeld ikkje søkjarlister. Organet skal snarast etter at søknadsfristen er gått ut, setje opp ei søkjarliste som skal innehalde namn, alder, stilling eller yrkestittel og bustad- eller arbeidskommune for kvar søkjar. Det kan likevel gjerast unntak frå innsyn for opplysningar om ein søkjar dersom vedkommande sjølv ber om det. Ved vurderinga av om ei slik oppmoding skal takast til følgje, skal det leggjast vekt på om det knyter seg særleg offentleg interesse til stillinga. I utlysinga skal det gjerast oppmerksam på at opplysningar om søkjaren kan bli gjort offentlege sjølv om søkjaren har oppmoda om ikkje å bli ført opp på søkjarlista. Dersom oppmodinga ikkje blir teke til følgje, skal søkjaren varslast om dette. Det skal gå fram av søkjarlista kor mange søkjarar det har vore til stillinga, og kva kjønn dei har.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Unntaket i første ledd gjeld ikkje nominasjonsvedtak og røysteresultat ved utnemning av biskop.</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26.</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Unntak for eksamenssvar og karakterar m.m.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kan gjerast unntak frå innsyn for svar til eksamen eller liknande prøve og innleverte utkast til konkurranse eller liknande. Det same gjeld tilhøyrande oppgåver inntil vedkommande eksamen eller prøve er halden eller vedkommande konkurranse er lyst ut. Det kan dessutan gjerast unntak frå innsyn for karakterar og vitnemål frå utdanning.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kan gjerast unntak frå innsyn for opplysningar om kven som skal få ein pris, eit heidersteikn eller liknande inntil tildelinga er gjort. For opplysningar om kven som har vore vurdert for ein pris, eit heidersteikn eller liknande, gjeld dette også etter tildelinga.</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kan gjerast unntak frå innsyn for personbilete som er teke inn i eit personregister. Det same gjeld opplysningar som er innhenta ved vedvarande eller regelmessig gjenteken personovervaking.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Det kan gjerast unntak frå innsyn for opplysningar om forskingsidear og forskingsprosjekt i sak som gjeld økonomisk stønad eller rådgjeving frå det offentlege i samband med forskingsprosjekt.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Endra med lov 30 jan 2009 nr. 7 (i kraft 30 jan 2009, etter res. 30 jan 2009 nr. 76).</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27.</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Forskriftsheimel</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Kongen kan i forskrift fastsetje at det kan gjerast unntak frå innsyn for journalar og alle dokument på saksområde der det kan eller skal gjerast unntak frå innsyn for det alt vesentlege av dokumenta. Slik forskrift kan berre fastsetjast når særleg tungtvegande grunnar taler for det.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       Kongen kan i forskrift fastsetje at det kan gjerast unntak frå innsyn for dokument i arkivdepot når det er påkravd av arkivtekniske omsyn.</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r w:rsidRPr="007840B0">
        <w:rPr>
          <w:rFonts w:ascii="Arial" w:eastAsia="Times New Roman" w:hAnsi="Arial" w:cs="Arial"/>
          <w:b/>
          <w:bCs/>
          <w:color w:val="CC052B"/>
          <w:sz w:val="24"/>
          <w:szCs w:val="24"/>
          <w:lang w:eastAsia="nb-NO"/>
        </w:rPr>
        <w:t>Kapittel 4. Saksbehandling og klage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28.</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Innsynskravet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Innsyn kan krevjast skriftleg eller munnleg.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Innsynskravet må gjelde ei bestemt sak eller i rimeleg utstrekning saker av ein bestemt art. Dette gjeld ikkje når det blir kravd innsyn i ein journal eller liknande register.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29.</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Kva organ skal avgjere innsynskravet mv.</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Eit organ som mottek eit innsynskrav, skal vurdere kravet konkret og sjølvstendig. Kravet skal avgjerast utan ugrunna opphald.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Kongen kan i forskrift gi reglar om kva organ som på dei forskjellige saksområda skal ta avgjerd etter paragrafen her.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30.</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Korleis organet skal gi innsyn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Organet fastset ut frå omsynet til forsvarleg saksbehandling korleis eit dokument skal gjerast kjent. Det kan krevjast papirkopi eller elektronisk kopi av dokumentet. Hos verksemder som er omfatta av EØS-avtalen vedlegg XI nr. 5k (direktiv 2003/98/EF) om vidarebruk av informasjon frå offentleg sektor, og hos andre verksemder der det er fastsett av Kongen i forskrift, gjeld retten til kopi alle eksisterande format og språkversjonar. Retten til kopi gjeld ikkje format eller versjonar av eit dokument som er allment tilgjengelege. Kongen kan gi forskrift om at retten til elektronisk kopi ikkje skal gjelde for dokument som ein tredjeperson har immaterielle rettar til, og for dokument der det er påkravd av arkivtekniske omsyn.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Når verksemder som er omfatta av EØS-avtalen vedlegg XI nr. 5k (direktiv 2003/98/EF) om vidarebruk av informasjon frå offentleg sektor, gir innsyn i informasjon som det knyter seg immaterielle rettar til, skal organet, dersom det har kjennskap til det, opplyse om kven som er innehavar av rettane, eller kva lisenshavar organet har fått informasjonen frå. Dette gjeld likevel ikkje når det er klart unødvendig å gi slike opplysningar. Kongen kan fastsetje i forskrift at føresegnene i leddet her også skal gjelde for verksemder som ikkje er omfatta av EØS-avtalen vedlegg XI nr. 5k (direktiv 2003/98/EF).</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31.</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Avslag og grunngiving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Avslag på innsynskrav skal vere skriftleg. Organet skal alltid vise til den føresegna som gir grunnlag for avslaget, og til kva ledd, bokstav eller nummer i føresegna som er brukt. Dersom § 13 er grunnlag for avslaget, skal organet også vise til føresegna som pålegg teieplikt. Byggjer avslaget på forskrift, må organet opplyse om dette, og kva punkt i forskrifta avslaget byggjer på. Avslaget skal også opplyse om høvet til å klage og om klagefristen.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xml:space="preserve">       Den som har fått avslag, kan innan tre veker frå avslaget vart motteke, krevje ei nærare grunngiving for avslaget der hovudomsyna som har vore avgjerande for </w:t>
      </w:r>
      <w:r w:rsidRPr="007840B0">
        <w:rPr>
          <w:rFonts w:ascii="Arial" w:eastAsia="Times New Roman" w:hAnsi="Arial" w:cs="Arial"/>
          <w:color w:val="000000"/>
          <w:sz w:val="24"/>
          <w:szCs w:val="24"/>
          <w:lang w:eastAsia="nb-NO"/>
        </w:rPr>
        <w:lastRenderedPageBreak/>
        <w:t>avslaget, skal nemnast. Organet skal gi skriftleg grunngiving snarast råd og seinast innan ti arbeidsdagar etter at kravet vart motteke.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32.</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Klage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Avgjerder etter denne lova kan påklagast til det forvaltningsorganet som er nærmast overordna det forvaltningsorganet som har gjort vedtaket. Avgjerder om å gi innsyn kan likevel ikkje påklagast. Fylkesmannen er klageinstans for vedtak i kommunalt eller fylkeskommunalt organ. Kongen kan gi forskrift om kva organ som skal vere klageinstans for avgjerder tekne av statlege organ. Kongen kan også gi forskrift om kva organ som skal vere klageinstans for avgjerder av rettssubjekt som er omfatta av § 2 første ledd bokstavane b til d. Når det blir klaga på ei avgjerd frå eit departement, skal departementet opplyse klagaren om at retten til å klage til Sivilombodsmannen ikkje gjeld for avgjerder gjorde av Kongen i statsråd.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Dersom den som har kravd innsyn, ikkje har fått svar innan fem arbeidsdagar etter at organet mottok kravet, skal dette reknast som eit avslag som kan påklagast etter første ledd. Dette gjeld likevel ikkje når Kongen i statsråd er klageorgan. Regelen i første punktum gjeld heller ikkje i slike tilfelle som fell inn under § 13 tredje ledd, og når spørsmål om nedgradering må leggjast fram for eit anna organ.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Klaga skal førebuast og avgjerast utan ugrunna opphald. Elles gjeld reglane i forvaltningsloven kapittel VI så langt dei passar.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Vedtaket til klageinstansen er særleg tvangsgrunnlag etter tvangsfullbyrdelsesloven kapittel 13 overfor kommunar og fylkeskommunar og rettssubjekt som er omfatta av § 2 første ledd bokstavane b til d.</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r w:rsidRPr="007840B0">
        <w:rPr>
          <w:rFonts w:ascii="Arial" w:eastAsia="Times New Roman" w:hAnsi="Arial" w:cs="Arial"/>
          <w:b/>
          <w:bCs/>
          <w:color w:val="CC052B"/>
          <w:sz w:val="24"/>
          <w:szCs w:val="24"/>
          <w:lang w:eastAsia="nb-NO"/>
        </w:rPr>
        <w:t>Kapittel 5. Sluttføresegner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33.</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Iverksetjing og overgangsreglar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Lova gjeld frå den tid Kongen fastset.</w:t>
      </w:r>
      <w:r w:rsidRPr="007840B0">
        <w:rPr>
          <w:rFonts w:ascii="Arial" w:eastAsia="Times New Roman" w:hAnsi="Arial" w:cs="Arial"/>
          <w:color w:val="000000"/>
          <w:sz w:val="24"/>
          <w:szCs w:val="24"/>
          <w:vertAlign w:val="superscript"/>
          <w:lang w:eastAsia="nb-NO"/>
        </w:rPr>
        <w:t>1</w:t>
      </w:r>
      <w:r w:rsidRPr="007840B0">
        <w:rPr>
          <w:rFonts w:ascii="Arial" w:eastAsia="Times New Roman" w:hAnsi="Arial" w:cs="Arial"/>
          <w:color w:val="000000"/>
          <w:sz w:val="24"/>
          <w:szCs w:val="24"/>
          <w:lang w:eastAsia="nb-NO"/>
        </w:rPr>
        <w:t> Frå same tid blir lov 19. juni 1970 nr. 69 om offentlighet i forvaltningen oppheva.</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For rettssubjekt som blir omfatta av lova etter § 2 første ledd bokstav c eller d, gjeld innsynsretten og plikta til å føre journal berre for dokument som er komme inn til eller oppretta av rettssubjektet etter at lova her tek til å gjelde.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Avtalar om einerett til tilgang til informasjon som eksisterer når lova tek til å gjelde, og som ikkje oppfyller vilkåra i § 6 andre ledd, skal opphøyre når avtalen går ut, men likevel seinast den 31. desember 2008.</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Endra med lov 30 juni 2006 nr. 52 (i kraft 1 juli 2006, etter res. 30 juni 2006 nr. 727).</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17"/>
                <w:szCs w:val="17"/>
                <w:lang w:eastAsia="nb-NO"/>
              </w:rPr>
              <w:t>1</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17"/>
                <w:szCs w:val="17"/>
                <w:lang w:eastAsia="nb-NO"/>
              </w:rPr>
              <w:t>I kraft 1 jan 2009, etter res. 17 okt 2008 nr. 1118.</w:t>
            </w:r>
          </w:p>
        </w:tc>
      </w:tr>
    </w:tbl>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34.</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Endringar i andre lover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Frå den tida lova tek til å gjelde, blir desse endringane gjorde i andre lover: – – –</w:t>
      </w:r>
    </w:p>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Pr="007840B0" w:rsidRDefault="007840B0" w:rsidP="007840B0">
      <w:pPr>
        <w:pStyle w:val="ListParagraph"/>
        <w:numPr>
          <w:ilvl w:val="0"/>
          <w:numId w:val="1"/>
        </w:numPr>
        <w:spacing w:before="100" w:beforeAutospacing="1" w:after="100" w:afterAutospacing="1" w:line="240" w:lineRule="auto"/>
        <w:jc w:val="center"/>
        <w:outlineLvl w:val="2"/>
        <w:rPr>
          <w:rFonts w:ascii="Arial" w:eastAsia="Times New Roman" w:hAnsi="Arial" w:cs="Arial"/>
          <w:b/>
          <w:bCs/>
          <w:color w:val="CC052B"/>
          <w:sz w:val="144"/>
          <w:szCs w:val="144"/>
          <w:lang w:eastAsia="nb-NO"/>
        </w:rPr>
      </w:pPr>
      <w:r w:rsidRPr="007840B0">
        <w:rPr>
          <w:rFonts w:ascii="Arial" w:eastAsia="Times New Roman" w:hAnsi="Arial" w:cs="Arial"/>
          <w:b/>
          <w:bCs/>
          <w:color w:val="CC052B"/>
          <w:sz w:val="144"/>
          <w:szCs w:val="144"/>
          <w:lang w:eastAsia="nb-NO"/>
        </w:rPr>
        <w:t>Ny Lov -</w:t>
      </w:r>
    </w:p>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Default="007840B0"/>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r w:rsidRPr="007840B0">
        <w:rPr>
          <w:rFonts w:ascii="Arial" w:eastAsia="Times New Roman" w:hAnsi="Arial" w:cs="Arial"/>
          <w:b/>
          <w:bCs/>
          <w:color w:val="CC052B"/>
          <w:sz w:val="24"/>
          <w:szCs w:val="24"/>
          <w:lang w:eastAsia="nb-NO"/>
        </w:rPr>
        <w:lastRenderedPageBreak/>
        <w:t>Lov om kjøp.</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r w:rsidRPr="007840B0">
        <w:rPr>
          <w:rFonts w:ascii="Arial" w:eastAsia="Times New Roman" w:hAnsi="Arial" w:cs="Arial"/>
          <w:b/>
          <w:bCs/>
          <w:color w:val="CC052B"/>
          <w:sz w:val="24"/>
          <w:szCs w:val="24"/>
          <w:lang w:eastAsia="nb-NO"/>
        </w:rPr>
        <w:t>Kapittel I. Virkeområde.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Alminnelig virkeområde.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Loven gjelder kjøp for så vidt ikke annet er fastsatt i lov. For forbrukerkjøp gjelder forbrukerkjøpsloven. For kjøp av fast eiendom gjelder avhendingslova.</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Loven gjelder også bytte av ting så langt den passer.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3 juli 1992 nr. 93, 21 juni 2002 nr. 34 (i kraft 1 juli 2002).</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Tilvirkingskjøp. Tjenesteavtale.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Loven gjelder bestilling av ting som skal tilvirkes, når ikke den som bestiller skal skaffe en vesentlig del av materialet. Loven gjelder ikke avtale om oppføring av bygning eller annet anlegg på fast eiendom.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Loven gjelder ikke avtale som pålegger den part som skal levere tingen, også å utføre arbeid eller annen tjeneste, og dette utgjør den overveiende del av hans forpliktelser.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Avtale og handelsbruk.</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Bestemmelsene i loven gjelder ikke for så vidt annet følger av avtalen, etablert praksis mellom partene, eller handelsbruk eller annen sedvane som må anses bindende mellom partene.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4.</w:t>
      </w:r>
      <w:r w:rsidRPr="007840B0">
        <w:rPr>
          <w:rFonts w:ascii="Arial" w:eastAsia="Times New Roman" w:hAnsi="Arial" w:cs="Arial"/>
          <w:color w:val="000000"/>
          <w:sz w:val="24"/>
          <w:szCs w:val="24"/>
          <w:lang w:eastAsia="nb-NO"/>
        </w:rPr>
        <w:t> (Opphevet ved lov 21 juni 2002 nr. 34 (i kraft 1 juli 2002).)</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5.</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Internasjonalt kjøp.</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For internasjonalt kjøp gjelder loven med de særregler som angis i loven, jf særlig kapittel XV.</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Særreglene om internasjonalt kjøp får ikke anvendelse på kjøp der selgeren har forretningsstedet i Norge, Danmark, Finland, Island eller Sverige og kjøperen forretningsstedet i et annet av disse landene (nordisk kjøp).</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Særreglene gjelder heller ikke for:</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forbrukerkjøp og tilsvarende kjøp mellom forbrukere</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kjøp på auksjon</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salg ved tvangsfullbyrding eller etter lovpåbud</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kjøp av verdipapirer, penger, fordringer eller rettigheter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(e)</w:t>
            </w:r>
          </w:p>
        </w:tc>
        <w:tc>
          <w:tcPr>
            <w:tcW w:w="0" w:type="auto"/>
            <w:hideMark/>
          </w:tcPr>
          <w:p w:rsid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kjøp av fartøy, luftfartøy eller luftputefartøy.</w:t>
            </w:r>
          </w:p>
          <w:p w:rsidR="007840B0" w:rsidRDefault="007840B0" w:rsidP="007840B0">
            <w:pPr>
              <w:spacing w:after="0" w:line="240" w:lineRule="auto"/>
              <w:rPr>
                <w:rFonts w:ascii="Times New Roman" w:eastAsia="Times New Roman" w:hAnsi="Times New Roman" w:cs="Times New Roman"/>
                <w:sz w:val="24"/>
                <w:szCs w:val="24"/>
                <w:lang w:eastAsia="nb-NO"/>
              </w:rPr>
            </w:pPr>
          </w:p>
          <w:p w:rsidR="007840B0" w:rsidRDefault="007840B0" w:rsidP="007840B0">
            <w:pPr>
              <w:spacing w:after="0" w:line="240" w:lineRule="auto"/>
              <w:rPr>
                <w:rFonts w:ascii="Times New Roman" w:eastAsia="Times New Roman" w:hAnsi="Times New Roman" w:cs="Times New Roman"/>
                <w:sz w:val="24"/>
                <w:szCs w:val="24"/>
                <w:lang w:eastAsia="nb-NO"/>
              </w:rPr>
            </w:pPr>
          </w:p>
          <w:p w:rsidR="007840B0" w:rsidRDefault="007840B0" w:rsidP="007840B0">
            <w:pPr>
              <w:spacing w:after="0" w:line="240" w:lineRule="auto"/>
              <w:rPr>
                <w:rFonts w:ascii="Times New Roman" w:eastAsia="Times New Roman" w:hAnsi="Times New Roman" w:cs="Times New Roman"/>
                <w:sz w:val="24"/>
                <w:szCs w:val="24"/>
                <w:lang w:eastAsia="nb-NO"/>
              </w:rPr>
            </w:pPr>
          </w:p>
          <w:p w:rsidR="007840B0" w:rsidRDefault="007840B0" w:rsidP="007840B0">
            <w:pPr>
              <w:spacing w:after="0" w:line="240" w:lineRule="auto"/>
              <w:rPr>
                <w:rFonts w:ascii="Times New Roman" w:eastAsia="Times New Roman" w:hAnsi="Times New Roman" w:cs="Times New Roman"/>
                <w:sz w:val="24"/>
                <w:szCs w:val="24"/>
                <w:lang w:eastAsia="nb-NO"/>
              </w:rPr>
            </w:pPr>
          </w:p>
          <w:p w:rsidR="007840B0" w:rsidRDefault="007840B0" w:rsidP="007840B0">
            <w:pPr>
              <w:spacing w:after="0" w:line="240" w:lineRule="auto"/>
              <w:rPr>
                <w:rFonts w:ascii="Times New Roman" w:eastAsia="Times New Roman" w:hAnsi="Times New Roman" w:cs="Times New Roman"/>
                <w:sz w:val="24"/>
                <w:szCs w:val="24"/>
                <w:lang w:eastAsia="nb-NO"/>
              </w:rPr>
            </w:pPr>
          </w:p>
          <w:p w:rsidR="007840B0" w:rsidRPr="007840B0" w:rsidRDefault="007840B0" w:rsidP="007840B0">
            <w:pPr>
              <w:spacing w:after="0" w:line="240" w:lineRule="auto"/>
              <w:rPr>
                <w:rFonts w:ascii="Times New Roman" w:eastAsia="Times New Roman" w:hAnsi="Times New Roman" w:cs="Times New Roman"/>
                <w:sz w:val="24"/>
                <w:szCs w:val="24"/>
                <w:lang w:eastAsia="nb-NO"/>
              </w:rPr>
            </w:pPr>
          </w:p>
        </w:tc>
      </w:tr>
    </w:tbl>
    <w:p w:rsidR="007840B0" w:rsidRPr="007840B0" w:rsidRDefault="007840B0" w:rsidP="007840B0">
      <w:pPr>
        <w:spacing w:before="100" w:beforeAutospacing="1" w:after="100" w:afterAutospacing="1" w:line="240" w:lineRule="auto"/>
        <w:outlineLvl w:val="2"/>
        <w:rPr>
          <w:rFonts w:ascii="Times New Roman" w:eastAsia="Times New Roman" w:hAnsi="Times New Roman" w:cs="Times New Roman"/>
          <w:b/>
          <w:bCs/>
          <w:color w:val="CC052B"/>
          <w:sz w:val="24"/>
          <w:szCs w:val="24"/>
          <w:lang w:eastAsia="nb-NO"/>
        </w:rPr>
      </w:pPr>
      <w:r w:rsidRPr="007840B0">
        <w:rPr>
          <w:rFonts w:ascii="Arial" w:eastAsia="Times New Roman" w:hAnsi="Arial" w:cs="Arial"/>
          <w:b/>
          <w:bCs/>
          <w:color w:val="CC052B"/>
          <w:sz w:val="24"/>
          <w:szCs w:val="24"/>
          <w:lang w:eastAsia="nb-NO"/>
        </w:rPr>
        <w:lastRenderedPageBreak/>
        <w:t>Kapittel II. Leveringen.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6.</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Hentekjøp.</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Tingen skal holdes klar for henting på det sted der selgeren hadde sitt forretningssted (i tilfelle bosted jf § 83) da kjøpet ble inngått. Visste partene ved kjøpet at tingen eller det vareparti eller produksjonssted som tingen skal tas fra, var på et annet sted, skal tingen holdes klar for henting der.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Tingen er levert når den er overtatt av kjøperen.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7.</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Plasskjøp og sendekjøp.</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Skal tingen bringes til kjøperen på samme sted eller innenfor det område der selgeren vanligvis sørger for å bringe ut slike ting (plasskjøp), skjer levering når tingen mottas der.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Skal tingen ellers sendes til kjøperen (sendekjøp) og annet ikke følger av transportklausul eller annen avtale, skjer levering ved at tingen blir overgitt til den fraktfører som påtar seg transport fra avsendingsstedet. Utfører selgeren transporten selv, skjer levering først når tingen mottas av kjøperen.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Er tingen solgt « fritt », « levert » eller « fritt levert » med angivelse av et bestemt sted, anses den ikke levert før den er kommet fram til dette sted.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21 juni 2002 nr. 34 (i kraft 1 juli 2002).</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8.</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Tilleggsplikter ved sendekjøp.</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Skal selgeren sørge for at tingen blir sendt, plikter han å inngå avtaler som trengs for å få den transportert til bestemmelsesstedet på egnet måte og på vanlige vilkår for slik transport.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Skal ikke selgeren tegne transportforsikring for tingen, må han når kjøperen ber om det, gi de opplysninger kjøperen trenger for å kunne tegne forsikring.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Dersom selgeren leverer tingen til en fraktfører uten at det ved merking, i transportdokument eller på annen måte tydelig framgår at den skal til kjøperen, må selgeren gi kjøperen slik melding som gjør det klart hva han skal motta.</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9.</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Leveringstid.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Skal tingen ikke leveres etter påkrav eller uten opphold, og følger tiden for levering heller ikke ellers av avtale, skal den leveres innen rimelig tid etter kjøpet.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Er det avtalt et tidsrom for levering, har selgeren rett til å velge tidspunktet om forholdene ikke viser at valget tilkommer kjøperen.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Har selgeren ved hentekjøp rett til å velge tidspunkt for levering, skal han i tide gi kjøperen melding om når tingen kan hentes.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10.</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Selgerens tilbakeholdsrett.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Har ikke selgeren gitt kreditt eller henstand med betalingen, plikter han ikke ved å overgi tingen, overlevere dokument eller på annen måte å overføre rådigheten over tingen uten at kjøpesummen betales samtidig.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(2) Skal selgeren sende tingen til et annet sted, kan han likevel ikke la være å sende den, men han kan hindre at kjøperen får rådigheten før kjøpesummen betales.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11.</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Kostnader.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Selgeren bærer kostnadene med tingen til den er levert. Paragrafen her gjelder ikke kostnader ved at leveringen blir forsinket som følge av forhold på kjøperens side.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21 juni 2002 nr. 34 (i kraft 1 juli 2002).</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r w:rsidRPr="007840B0">
        <w:rPr>
          <w:rFonts w:ascii="Arial" w:eastAsia="Times New Roman" w:hAnsi="Arial" w:cs="Arial"/>
          <w:b/>
          <w:bCs/>
          <w:color w:val="CC052B"/>
          <w:sz w:val="24"/>
          <w:szCs w:val="24"/>
          <w:lang w:eastAsia="nb-NO"/>
        </w:rPr>
        <w:t>Kapittel III. Risikoen for tingen.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12.</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Hva risikoen innebærer.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Når risikoen for tingen er gått over på kjøperen, faller ikke hans plikt til å betale kjøpesummen bort ved at tingen deretter går tapt, skades eller minskes som følge av hending som ikke beror på selgeren.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13.</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Risikoens overgang.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Risikoen går over på kjøperen når tingen er levert som avtalt eller i samsvar med §§ 6 eller 7.</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Blir tingen ikke hentet eller mottatt til rett tid, og beror dette på kjøperen eller forhold på hans side, går risikoen over på ham når tingen er stilt til hans rådighet og det inntrer kontraktbrudd fra hans side ved at han ikke overtar tingen.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Skal kjøper hente tingen på et annet sted enn hos selgeren, går risikoen over når leveringstiden er inne og kjøperen er kjent med at tingen er stilt til hans rådighet på leveringsstedet.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21 juni 2002 nr. 34 (i kraft 1 juli 2002).</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14.</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Identifikasjon av tingen.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Risikoen går ikke over på kjøperen før det ved merking, transportdokument eller på annen måte er gjort klart at tingen er tiltenkt kjøperen.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15.</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Transitt.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Gjelder kjøpet ting under transport, går risikoen over ved avtaleslutningen når forholdene ikke viser at kjøperen har påtatt seg risikoen allerede fra det tidspunktet da tingen ble overgitt til den fraktfører som har utstedt transportdokumentet. Selgeren har i alle høve risikoen for tap eller skade som han kjente eller burde kjenne til ved kjøpet, men ikke opplyste kjøperen om.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21 juni 2002 nr. 34 (i kraft 1 juli 2002).</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16.</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Tilbakelevering ved kjøp med returrett.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Er en ting kjøpt og levert på prøve eller for øvrig med rett til tilbakelevering, har kjøperen risikoen etter reglene i kapitlet her inntil tingen igjen er overtatt av selgeren.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21 des 2000 nr. 105 (i kraft 1 mai 2001 iflg. res. 21 des 2000 nr. 1351), 21 juni 2002 nr. 34 (i kraft 1 juli 2002).</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r w:rsidRPr="007840B0">
        <w:rPr>
          <w:rFonts w:ascii="Arial" w:eastAsia="Times New Roman" w:hAnsi="Arial" w:cs="Arial"/>
          <w:b/>
          <w:bCs/>
          <w:color w:val="CC052B"/>
          <w:sz w:val="24"/>
          <w:szCs w:val="24"/>
          <w:lang w:eastAsia="nb-NO"/>
        </w:rPr>
        <w:t>Kapittel IV. Varens egenskaper; mangler m 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lastRenderedPageBreak/>
        <w:t>§ 17.</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Varens egenskaper.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Tingen skal være i samsvar med de krav til art, mengde, kvalitet, andre egenskaper og innpakning som følger av avtalen.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Dersom annet ikke følger av avtalen, skal tingen:</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passe for de formål som tilsvarende ting vanligvis brukes til;</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passe for et bestemt formål som selgeren var eller måtte være kjent med da kjøpet ble inngått, unntatt når forholdene viser at kjøperen for så vidt ikke bygde på selgerens sakkunnskap og vurdering eller ikke hadde rimelig grunn til å gjøre det;</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ha egenskaper som selger har vist til ved å legge fram prøve eller modell;</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være pakket på vanlig eller annen forsvarlig måte som trengs for å bevare og beskytte tingen.</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(3) Tingen har mangel dersom den ikke er i samsvar med kravene i paragrafen her.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21 juni 2002 nr. 34 (i kraft 1 juli 2002).</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18.</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Opplysning om egenskaper eller bruk.</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Reglene om mangler gjelder også når tingen ikke svarer til opplysninger som selgeren i sin markedsføring eller ellers har gitt om tingen, dens egenskaper eller bruk og som kan antas å ha innvirket på kjøpet.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Reglene i første ledd gjelder tilsvarende når tingen ikke svarer til opplysning som noen annen enn selgeren har gitt på tingens innpakning, i annonse eller annen markedsføring på vegne av selgeren eller tidligere salgsledd. Dette gjelder ikke om selgeren verken visste eller burde ha visst at opplysningen var gitt.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Reglene i første og andre ledd gjelder ikke når opplysningen i tide er rettet på en tydelig måte.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21 juni 2002 nr. 34 (i kraft 1 juli 2002).</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19.</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Ting solgt « som den er ». Auksjonssalg.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Selv om tingen er solgt « som den er » eller med liknende alminnelig forbehold, foreligger mangel når</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tingen ikke svarer til opplysninger som selgeren har gitt om tingen, dens egenskaper eller bruk og som kan antas å ha innvirket på kjøpet,</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selgeren ved kjøpet har forsømt å gi opplysning om vesentlige forhold ved tingen eller dens bruk som han måtte kjenne til og som kjøperen hadde grunn til å rekne med å få, såframt unnlatelsen kan antas å ha innvirket på kjøpet, eller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tingen er i vesentlig dårligere stand enn kjøperen hadde grunn til å rekne med etter kjøpesummens størrelse og forholdene ellers.</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(2) Selges brukte ting på auksjon gjelder reglene i første ledd tilsvarende så langt de passer.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20.</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Kjøperens onde tro, forundersøkelse m 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Kjøperen kan ikke gjøre gjeldende som mangel noe han kjente eller måtte kjenne til ved kjøpet.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(2) Har kjøperen før kjøpet undersøkt tingen eller uten rimelig grunn unnlatt å etterkomme selgerens oppfordring om å undersøke den, kan kjøperen ikke gjøre gjeldende noe som han burde ha oppdaget ved undersøkelsen, med mindre selgeren har handlet grovt aktløst eller for øvrig i strid med redelighet og god tro.</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Reglene foran gjelder tilsvarende når kjøperen før kjøpet er gitt høve til å undersøke en prøve og mangelen angår en egenskap som skulle framgå av prøven.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21.</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Tidspunkt for mangel.</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Ved bedømmelse av om tingen har mangel, skal det tidspunktet da risikoen går over på kjøperen legges til grunn, selv om mangelen først viser seg seinere.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Selgeren svarer også for mangel som oppstår seinere dersom den skyldes kontraktbrudd fra hans side. Det samme gjelder dersom selgeren ved garanti eller på annen måte har påtatt seg ansvar for at tingen vil ha angitte egenskaper eller være egnet til vanlig bruk eller en særlig bruksmåte i et tidsrom etter leveringen.</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r w:rsidRPr="007840B0">
        <w:rPr>
          <w:rFonts w:ascii="Arial" w:eastAsia="Times New Roman" w:hAnsi="Arial" w:cs="Arial"/>
          <w:b/>
          <w:bCs/>
          <w:color w:val="CC052B"/>
          <w:sz w:val="24"/>
          <w:szCs w:val="24"/>
          <w:lang w:eastAsia="nb-NO"/>
        </w:rPr>
        <w:t>Kapittel V. Kjøperens krav ved kontraktbrudd fra selgerens side.</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r w:rsidRPr="007840B0">
        <w:rPr>
          <w:rFonts w:ascii="Arial" w:eastAsia="Times New Roman" w:hAnsi="Arial" w:cs="Arial"/>
          <w:b/>
          <w:bCs/>
          <w:color w:val="CC052B"/>
          <w:sz w:val="24"/>
          <w:szCs w:val="24"/>
          <w:lang w:eastAsia="nb-NO"/>
        </w:rPr>
        <w:t>Forsinkelse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22.</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Innledende bestemmelse.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Dersom tingen ikke blir levert eller blir levert for seint, og dette ikke skyldes kjøperen eller forhold på hans side, kan han etter §§ 23 til 29 kreve oppfyllelse, heving og erstatning samt holde kjøpesummen tilbake etter § 42. Hans rett til erstatning faller ikke bort ved at han gjør gjeldende andre krav eller ved at disse ikke kan gjøres gjeldende.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Dersom selgeren ikke i tide oppfyller sine plikter ellers etter kjøpet, gjelder bestemmelsene om forsinkelse tilsvarende så langt de passer, likevel ikke § 25 (2) og (3).</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21 juni 2002 nr. 34 (i kraft 1 juli 2002).</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23.</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Rett til oppfyllelse.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Kjøperen kan fastholde kjøpet og kreve oppfyllelse. Dette gjelder ikke om det foreligger en hindring som selgeren ikke kan overvinne, eller for så vidt oppfyllelse vil medføre så stor ulempe eller kostnad for selgeren at det står i vesentlig misforhold til kjøperens interesse i at selgeren oppfyller.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Faller vanskene bort innen rimelig tid, kan kjøperen kreve oppfyllelse når ikke dette etter den tid som er gått, vil være vesentlig mer tyngende eller få en annen karakter enn selgeren kunne forutse eller det for øvrig vil være urimelig å kreve oppfyllelse.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Kjøperen taper sin rett til oppfyllelse om han venter urimelig lenge med å fremme kravet.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24.</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Forespørsel.</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xml:space="preserve">       Dersom selgeren spør om kjøperen tross forsinkelsen vil motta levering, eller underretter kjøperen om at han vil levere innen en angitt tid, men kjøperen ikke </w:t>
      </w:r>
      <w:r w:rsidRPr="007840B0">
        <w:rPr>
          <w:rFonts w:ascii="Arial" w:eastAsia="Times New Roman" w:hAnsi="Arial" w:cs="Arial"/>
          <w:color w:val="000000"/>
          <w:sz w:val="24"/>
          <w:szCs w:val="24"/>
          <w:lang w:eastAsia="nb-NO"/>
        </w:rPr>
        <w:lastRenderedPageBreak/>
        <w:t>svarer innen rimelig tid etter at han har fått meldingen, kan han ikke heve om oppfyllelse skjer innen den tid som er angitt.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25.</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Heving.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Kjøperen kan heve kjøpet når forsinkelsen medfører vesentlig kontraktbrudd.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Kjøpet kan også heves dersom selgeren ikke leverer innen en rimelig tilleggsfrist for oppfyllelse som kjøperen har fastsatt.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Mens tilleggsfristen løper kan ikke kjøperen heve, med mindre selgeren har sagt at han ikke vil oppfylle innen fristen.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26.</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Heving av tilvirkingskjøp.</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Gjelder kjøpet en ting som skal tilvirkes særskilt for kjøperen etter hans oppgaver eller ønsker, og kan selgeren derfor ikke uten vesentlig tap disponere tingen på annen måte, kan kjøperen bare heve dersom forsinkelsen medfører at hans formål med kjøpet blir vesentlig forfeilet. Bestemmelsen her gjelder ikke internasjonalt kjøp.</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27.</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Erstatning.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Kjøperen kan kreve erstatning for det tap han lider som følge av forsinkelse fra selgerens side. Dette gjelder likevel ikke så langt selgeren godtgjør at forsinkelsen skyldes hindring utenfor hans kontroll som han ikke med rimelighet kunne ventes å ha tatt i betraktning på avtaletiden eller å unngå eller overvinne følgene av.</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Beror forsinkelsen på en tredjemann som selgeren har gitt i oppdrag helt eller delvis å oppfylle kjøpet, er selgeren fri for ansvar bare om også tredjemann ville være fritatt etter regelen i første ledd. Det samme gjelder om forsinkelsen beror på en leverandør som selgeren har brukt, eller på noen annen i tidligere salgsledd.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Ansvarsfrihet gjelder så lenge hindringen virker. Faller hindringen bort, kan ansvar gjøres gjeldende dersom selgeren da plikter å oppfylle men ikke gjør dette.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(4) Reglene foran i paragrafen her omfatter ikke slikt indirekte tap som nevnt i § 67 (2). I internasjonalt kjøp omfatter reglene likevel også indirekte tap for så vidt annet ikke følger av § 70 (3).</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(5) Kjøperen kan i alle høve kreve erstatning dersom forsinkelsen eller tapet skyldes feil eller forsømmelse på selgerens side.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28.</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Opplysningsplikt om hindring.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Hindres selgeren å oppfylle kjøpet til rett tid, skal han gi kjøperen melding om hindringen og dens virkning på muligheten for å oppfylle. Får kjøperen ikke slik melding innen rimelig tid etter at selgeren fikk eller burde fått kjennskap til hindringen, kan kjøperen kreve erstattet tap som kunne vært unngått om han hadde fått meldingen i tide.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29.</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Frist for å heve.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Er tingen levert for seint kan kjøperen ikke heve kjøpet, med mindre han gir selgeren melding om kravet innen rimelig tid etter at han fikk vite om leveringen.</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r w:rsidRPr="007840B0">
        <w:rPr>
          <w:rFonts w:ascii="Arial" w:eastAsia="Times New Roman" w:hAnsi="Arial" w:cs="Arial"/>
          <w:b/>
          <w:bCs/>
          <w:color w:val="CC052B"/>
          <w:sz w:val="24"/>
          <w:szCs w:val="24"/>
          <w:lang w:eastAsia="nb-NO"/>
        </w:rPr>
        <w:t>Mangler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lastRenderedPageBreak/>
        <w:t>§ 30.</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Innledende bestemmelse.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Dersom det foreligger mangel og denne ikke skyldes kjøperen eller forhold på hans side, kan han etter §§ 31 til 40 kreve retting, omlevering, prisavslag, heving og erstatning samt holde kjøpesummen tilbake etter § 42. Hans rett til erstatning faller ikke bort ved at han gjør gjeldende andre krav eller ved at disse ikke kan gjøres gjeldende.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For andre feil ved selgerens oppfyllelse gjelder reglene om mangler så langt de passer.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21 juni 2002 nr. 34 (i kraft 1 juli 2002).</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31.</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Kjøperens undersøkelse etter leveringen.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Etter levering skal kjøperen så snart han etter forholdene har rimelig høve til det, undersøke tingen slik god skikk tilsier.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Framgår det at tingen skal transporteres fra leveringsstedet, kan kjøperen vente med å undersøke den til den er kommet fram til bestemmelsesstedet.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Endrer kjøperen bestemmelsesstedet mens tingen er undervegs, eller sender han den videre uten at han har hatt rimelig høve til å undersøke den, og selgeren ved kjøpet kjente eller burde ha kjent til muligheten for slik omdirigering eller videresending, kan undersøkelsen utsettes til tingen er kommet fram til det nye bestemmelsesstedet.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21 juni 2002 nr. 34 (i kraft 1 juli 2002).</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32.</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Reklamasjon.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Kjøperen taper sin rett til å gjøre en mangel gjeldende dersom han ikke innen rimelig tid etter at han oppdaget eller burde ha oppdaget den, gir selgeren melding som angir hva slags mangel det gjelder.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Reklamerer kjøperen ikke innen to år etter den dag da han overtok tingen, kan han ikke seinere gjøre mangelen gjeldende. Dette gjelder ikke dersom selgeren ved garanti eller annen avtale har påtatt seg ansvar for mangler i lengre tid.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21 juni 2002 nr. 34 (i kraft 1 juli 2002).</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33.</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Unntak fra reklamasjonsreglene.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Uansett §§ 31 og 32 kan kjøperen gjøre mangelen gjeldende dersom selgeren har opptrådt grovt aktløst eller for øvrig i strid med redelighet og god tro.</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34.</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Krav på retting og omlevering (avhjelp).</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Kjøperen kan kreve at selgeren for egen rekning retter mangel dersom dette kan skje uten å volde selgeren urimelig kostnad eller ulempe. Selgeren kan isteden foreta omlevering etter § 36.</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Kjøperen kan kreve omlevering når mangelen er vesentlig. Dette gjelder ikke dersom det foreligger hindring eller misforhold som nevnt i § 23. Omlevering kan heller ikke kreves når kjøpet gjelder en ting som foreligger ved kjøpet og har slike egenskaper at den ut fra partenes forutsetninger ikke med rimelighet kan erstattes med en annen.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(3) Oppfyller ikke selgeren sin plikt til å rette eller omlevere, kan kjøperen kreve erstatning for sine forsvarlige utgifter ved å få mangelen rettet.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35.</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Melding om krav på retting eller omlevering (avhjelp).</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Kjøper taper sitt krav på retting eller omlevering dersom han ikke gir selgeren melding om kravet sammen med reklamasjon etter § 32 eller innen rimelig tid deretter. Kjøperen har likevel kravet i behold dersom selgeren har opptrådt grovt aktløst eller for øvrig i strid med redelighet og god tro.</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21 juni 2002 nr. 34 (i kraft 1 juli 2002).</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36.</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Selgerens rett til retting eller omlevering (avhjelp).</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Selv om kjøperen ikke krever det, kan selgeren for egen kostnad rette mangel eller foreta omlevering, når dette kan skje uten vesentlig ulempe for kjøperen og uten risiko for at kjøperen ikke får dekket sine utlegg av selgeren.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Dersom selgeren spør om kjøperen vil godta retting eller omlevering, eller underretter kjøperen om at han vil rette eller omlevere innen en angitt tid, men kjøperen ikke svarer innen rimelig tid etter at han har fått meldingen, kan selgeren foreta det nødvendige innen den tid som er angitt.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Selgeren kan ikke gjøre gjeldende at han ikke har fått høve til å rette eller omlevere, dersom kjøperen har sørget for å få rettet mangelen og det etter forholdene ville være urimelig å kreve at han ventet på selgerens retting eller omlevering.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37.</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Prisavslag eller heving etter manglende avhjelp.</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Dersom retting eller omlevering ikke kommer på tale eller ikke blir foretatt innen rimelig tid etter at kjøperen har klaget over mangelen, kan kjøperen kreve prisavslag eller heve kjøpet etter §§ 38 eller 39. Dette gjelder ikke dersom kjøperen avslår avhjelp som han plikter å motta.</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Kjøperen kan ikke kreve prisavslag ved kjøp av brukte ting på auksjon.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38.</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Prisavslag.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Har tingen mangel, kan kjøperen kreve prisavslag slik at forholdet mellom nedsatt og avtalt pris svarer til forholdet mellom tingens verdi i mangelfull og kontraktmessig stand på leveringstiden.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39.</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Heving.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Kjøperen kan heve kjøpet dersom mangelen medfører vesentlig kontraktbrudd.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Kjøperen kan ikke heve kjøpet med mindre han gir selgeren melding om heving innen rimelig tid etter at han fikk eller burde ha fått kjennskap til mangelen, eller etter utløpet av den frist som kan følge av krav eller melding etter §§ 34 eller 36. Dette gjelder likevel ikke dersom selgeren har opptrådt grovt aktløst eller for øvrig i strid med redelighet og god tro.</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40.</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Erstatning.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(1) Kjøperen kan kreve erstatning for det tap han lider som følge av mangel ved tingen, for så vidt selgeren ikke godtgjør at det forhold at leveringen er mangelfull, skyldes hindring som nevnt i § 27. Reglene ellers i §§ 27 og 28 gjelder tilsvarende.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Reglene i første ledd omfatter ikke slikt indirekte tap som nevnt i § 67 (2). I internasjonalt kjøp omfatter reglene likevel også indirekte tap for så vidt annet ikke følger av § 70 (3).</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Kjøperen kan i alle høve kreve erstatning dersom</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mangelen eller tapet skyldes feil eller forsømmelse fra selgers side eller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tingen allerede på avtaletiden avvek fra det som er tilsikret av selgeren.</w:t>
            </w:r>
          </w:p>
        </w:tc>
      </w:tr>
    </w:tbl>
    <w:p w:rsidR="007840B0" w:rsidRPr="007840B0" w:rsidRDefault="007840B0" w:rsidP="007840B0">
      <w:pPr>
        <w:spacing w:before="100" w:beforeAutospacing="1" w:after="100" w:afterAutospacing="1" w:line="240" w:lineRule="auto"/>
        <w:outlineLvl w:val="2"/>
        <w:rPr>
          <w:rFonts w:ascii="Times New Roman" w:eastAsia="Times New Roman" w:hAnsi="Times New Roman" w:cs="Times New Roman"/>
          <w:b/>
          <w:bCs/>
          <w:color w:val="CC052B"/>
          <w:sz w:val="24"/>
          <w:szCs w:val="24"/>
          <w:lang w:eastAsia="nb-NO"/>
        </w:rPr>
      </w:pPr>
      <w:r w:rsidRPr="007840B0">
        <w:rPr>
          <w:rFonts w:ascii="Arial" w:eastAsia="Times New Roman" w:hAnsi="Arial" w:cs="Arial"/>
          <w:b/>
          <w:bCs/>
          <w:color w:val="CC052B"/>
          <w:sz w:val="24"/>
          <w:szCs w:val="24"/>
          <w:lang w:eastAsia="nb-NO"/>
        </w:rPr>
        <w:t>Rettsmangler m 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41.</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Rettsmangler. Andre tredjemannskrav.</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Har tredjemann eiendomsrett, panterett eller annen rett i tingen (rettsmangel), gjelder reglene om mangler tilsvarende dersom det ikke følger av avtalen at kjøperen skal overta tingen med den begrensning tredjemanns rett medfører. Toårsfristen for reklamasjon i § 32 (2) gjelder likevel ikke.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Kjøperen kan i alle høve kreve erstatning for tap som følge av rettsmangel som forelå ved kjøpet og som han verken kjente eller burde ha kjent til.</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Gjør tredjemann krav på å ha rett i tingen og dette bestrides, gjelder reglene i første og andre ledd tilsvarende når kravet ikke er klart ugrunnet.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(4) For tredjemannskrav som bygger på immaterialrett (jf § 96) gjelder reglene i første ledd tilsvarende.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21 juni 2002 nr. 34 (i kraft 1 juli 2002).</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68" w:name="map009"/>
      <w:bookmarkEnd w:id="68"/>
      <w:r w:rsidRPr="007840B0">
        <w:rPr>
          <w:rFonts w:ascii="Arial" w:eastAsia="Times New Roman" w:hAnsi="Arial" w:cs="Arial"/>
          <w:b/>
          <w:bCs/>
          <w:color w:val="CC052B"/>
          <w:sz w:val="24"/>
          <w:szCs w:val="24"/>
          <w:lang w:eastAsia="nb-NO"/>
        </w:rPr>
        <w:t>Øvrige bestemmelser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42.</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Kjøperens tilbakeholdsrett.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Har kjøperen krav som følger av selgerens kontraktbrudd, kan kjøperen holde tilbake så mye av kjøpesummen som vil sikre at han får kravet dekket.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b/>
          <w:bCs/>
          <w:color w:val="000000"/>
          <w:sz w:val="24"/>
          <w:szCs w:val="24"/>
          <w:lang w:eastAsia="nb-NO"/>
        </w:rPr>
        <w:t>§ 43.</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Kontraktbrudd ved del av tingen.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Gjelder selgerens kontraktbrudd bare en del av det solgte, får reglene i kapitlet her anvendelse på denne del. Kjøperen kan heve kjøpet i sin helhet når kontraktbruddet er vesentlig for hele kjøpet.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Må selgeren etter forholdene antas å ha avsluttet sin levering enda ikke alt er levert, får reglene om mangler anvendelse.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69" w:name="44"/>
      <w:bookmarkEnd w:id="69"/>
      <w:r w:rsidRPr="007840B0">
        <w:rPr>
          <w:rFonts w:ascii="Arial" w:eastAsia="Times New Roman" w:hAnsi="Arial" w:cs="Arial"/>
          <w:b/>
          <w:bCs/>
          <w:color w:val="000000"/>
          <w:sz w:val="24"/>
          <w:szCs w:val="24"/>
          <w:lang w:eastAsia="nb-NO"/>
        </w:rPr>
        <w:t>§ 44.</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Levering etter hvert.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Skal selgeren levere etter hvert og er det kontraktbrudd ved en enkelt dellevering, kan kjøperen heve for denne levering etter reglene om heving.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(2) Gir kontraktbruddet kjøperen god grunn til å rekne med at det vil inntre kontraktbrudd som vil gi hevingsrett ved seinere leveringer, kan han på dette grunnlag heve for slike leveringer dersom det skjer innen rimelig tid.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Dersom kjøperen hever for en enkelt levering, kan han samtidig heve kjøpet for tidligere eller seinere leveringer som på grunn av sammenhengen mellom leveringene ikke vil kunne brukes til formål som partene forutsatte på avtaletiden.</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70" w:name="map010"/>
      <w:bookmarkEnd w:id="70"/>
      <w:r w:rsidRPr="007840B0">
        <w:rPr>
          <w:rFonts w:ascii="Arial" w:eastAsia="Times New Roman" w:hAnsi="Arial" w:cs="Arial"/>
          <w:b/>
          <w:bCs/>
          <w:color w:val="CC052B"/>
          <w:sz w:val="24"/>
          <w:szCs w:val="24"/>
          <w:lang w:eastAsia="nb-NO"/>
        </w:rPr>
        <w:t>Kapittel VI. Kjøperens plikter.</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71" w:name="map011"/>
      <w:bookmarkEnd w:id="71"/>
      <w:r w:rsidRPr="007840B0">
        <w:rPr>
          <w:rFonts w:ascii="Arial" w:eastAsia="Times New Roman" w:hAnsi="Arial" w:cs="Arial"/>
          <w:b/>
          <w:bCs/>
          <w:color w:val="CC052B"/>
          <w:sz w:val="24"/>
          <w:szCs w:val="24"/>
          <w:lang w:eastAsia="nb-NO"/>
        </w:rPr>
        <w:t>Kjøpesummens størrelse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72" w:name="45"/>
      <w:bookmarkEnd w:id="72"/>
      <w:r w:rsidRPr="007840B0">
        <w:rPr>
          <w:rFonts w:ascii="Arial" w:eastAsia="Times New Roman" w:hAnsi="Arial" w:cs="Arial"/>
          <w:b/>
          <w:bCs/>
          <w:color w:val="000000"/>
          <w:sz w:val="24"/>
          <w:szCs w:val="24"/>
          <w:lang w:eastAsia="nb-NO"/>
        </w:rPr>
        <w:t>§ 45.</w:t>
      </w:r>
      <w:r w:rsidRPr="007840B0">
        <w:rPr>
          <w:rFonts w:ascii="Arial" w:eastAsia="Times New Roman" w:hAnsi="Arial" w:cs="Arial"/>
          <w:color w:val="000000"/>
          <w:sz w:val="24"/>
          <w:szCs w:val="24"/>
          <w:lang w:eastAsia="nb-NO"/>
        </w:rPr>
        <w:t> Er kjøp inngått uten at prisen følger av avtalen, skal kjøperen betale gjengs pris på avtaletiden for samme slags ting solgt under tilsvarende forhold, for så vidt prisen ikke er urimelig. Er det ingen slik gjengs pris, må kjøperen betale det som er rimelig under omsyn til tingens art og godhet og tilhøva ellers.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21 juni 2002 nr. 34 (i kraft 1 juli 2002).</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73" w:name="46"/>
      <w:bookmarkEnd w:id="73"/>
      <w:r w:rsidRPr="007840B0">
        <w:rPr>
          <w:rFonts w:ascii="Arial" w:eastAsia="Times New Roman" w:hAnsi="Arial" w:cs="Arial"/>
          <w:b/>
          <w:bCs/>
          <w:color w:val="000000"/>
          <w:sz w:val="24"/>
          <w:szCs w:val="24"/>
          <w:lang w:eastAsia="nb-NO"/>
        </w:rPr>
        <w:t>§ 46.</w:t>
      </w:r>
      <w:r w:rsidRPr="007840B0">
        <w:rPr>
          <w:rFonts w:ascii="Arial" w:eastAsia="Times New Roman" w:hAnsi="Arial" w:cs="Arial"/>
          <w:color w:val="000000"/>
          <w:sz w:val="24"/>
          <w:szCs w:val="24"/>
          <w:lang w:eastAsia="nb-NO"/>
        </w:rPr>
        <w:t> (1) Skal kjøpesummen fastsettes etter tall, mål eller vekt, legges til grunn mengden på det tidspunkt da risikoen for tingen går over på kjøperen.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Er prisen fastsatt etter vekt, trekkes først vekten av innpakningen fra.</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74" w:name="47"/>
      <w:bookmarkEnd w:id="74"/>
      <w:r w:rsidRPr="007840B0">
        <w:rPr>
          <w:rFonts w:ascii="Arial" w:eastAsia="Times New Roman" w:hAnsi="Arial" w:cs="Arial"/>
          <w:b/>
          <w:bCs/>
          <w:color w:val="000000"/>
          <w:sz w:val="24"/>
          <w:szCs w:val="24"/>
          <w:lang w:eastAsia="nb-NO"/>
        </w:rPr>
        <w:t>§ 47.</w:t>
      </w:r>
      <w:r w:rsidRPr="007840B0">
        <w:rPr>
          <w:rFonts w:ascii="Arial" w:eastAsia="Times New Roman" w:hAnsi="Arial" w:cs="Arial"/>
          <w:color w:val="000000"/>
          <w:sz w:val="24"/>
          <w:szCs w:val="24"/>
          <w:lang w:eastAsia="nb-NO"/>
        </w:rPr>
        <w:t> Har kjøperen fått rekning eller nota, er han bundet av den pris som er oppført, om han ikke innen rimelig tid sier fra at han ikke godtar den. Dette gjelder ikke når lavere pris følger av avtale eller den oppførte pris er urimelig.</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75" w:name="map012"/>
      <w:bookmarkEnd w:id="75"/>
      <w:r w:rsidRPr="007840B0">
        <w:rPr>
          <w:rFonts w:ascii="Arial" w:eastAsia="Times New Roman" w:hAnsi="Arial" w:cs="Arial"/>
          <w:b/>
          <w:bCs/>
          <w:color w:val="CC052B"/>
          <w:sz w:val="24"/>
          <w:szCs w:val="24"/>
          <w:lang w:eastAsia="nb-NO"/>
        </w:rPr>
        <w:t>Kjøpesummens betaling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76" w:name="48"/>
      <w:bookmarkEnd w:id="76"/>
      <w:r w:rsidRPr="007840B0">
        <w:rPr>
          <w:rFonts w:ascii="Arial" w:eastAsia="Times New Roman" w:hAnsi="Arial" w:cs="Arial"/>
          <w:b/>
          <w:bCs/>
          <w:color w:val="000000"/>
          <w:sz w:val="24"/>
          <w:szCs w:val="24"/>
          <w:lang w:eastAsia="nb-NO"/>
        </w:rPr>
        <w:t>§ 48.</w:t>
      </w:r>
      <w:r w:rsidRPr="007840B0">
        <w:rPr>
          <w:rFonts w:ascii="Arial" w:eastAsia="Times New Roman" w:hAnsi="Arial" w:cs="Arial"/>
          <w:color w:val="000000"/>
          <w:sz w:val="24"/>
          <w:szCs w:val="24"/>
          <w:lang w:eastAsia="nb-NO"/>
        </w:rPr>
        <w:t> (1) Kjøpesummen skal betales på selgerens forretningssted (i tilfelle bosted jf § 83). Dersom betaling skal skje mot overlevering av tingen eller dokument, skal det gjøres på det sted overleveringen skjer.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Plikten til å betale kjøpesummen omfatter også plikt etter avtalen til å akseptere veksel, stille remburs, bankgaranti eller annen sikkerhet samt å treffe andre tiltak for å få betalt kjøpesummen.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Selgeren svarer for økte kostnader i forbindelse med betalingen som skyldes at han har flyttet sitt forretningssted etter at kjøpet ble inngått.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77" w:name="49"/>
      <w:bookmarkEnd w:id="77"/>
      <w:r w:rsidRPr="007840B0">
        <w:rPr>
          <w:rFonts w:ascii="Arial" w:eastAsia="Times New Roman" w:hAnsi="Arial" w:cs="Arial"/>
          <w:b/>
          <w:bCs/>
          <w:color w:val="000000"/>
          <w:sz w:val="24"/>
          <w:szCs w:val="24"/>
          <w:lang w:eastAsia="nb-NO"/>
        </w:rPr>
        <w:t>§ 49.</w:t>
      </w:r>
      <w:r w:rsidRPr="007840B0">
        <w:rPr>
          <w:rFonts w:ascii="Arial" w:eastAsia="Times New Roman" w:hAnsi="Arial" w:cs="Arial"/>
          <w:color w:val="000000"/>
          <w:sz w:val="24"/>
          <w:szCs w:val="24"/>
          <w:lang w:eastAsia="nb-NO"/>
        </w:rPr>
        <w:t> (1) Følger ikke betalingstiden av avtalen, skal kjøperen betale når selgeren krever det, men ikke før tingen blir overlevert kjøperen eller stilt til hans rådighet i samsvar med avtalen og loven.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Før kjøperen betaler har han likevel rett til å få undersøke tingen på vanlig måte, når dette ikke er uforenlig med den avtalte framgangsmåte for levering og betaling av kjøpesummen.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xml:space="preserve">(3) Dersom det brukes konnossement ved transporten av tingen til bestemmelsesstedet, eller transporten til kjøperen for øvrig skjer på slike vilkår at selgeren ikke kan rå over tingen etter betalingen, kan betaling kreves mot konnossement, fraktbrev eller annet bevis for at tingen blir transportert på slike vilkår. </w:t>
      </w:r>
      <w:r w:rsidRPr="007840B0">
        <w:rPr>
          <w:rFonts w:ascii="Arial" w:eastAsia="Times New Roman" w:hAnsi="Arial" w:cs="Arial"/>
          <w:color w:val="000000"/>
          <w:sz w:val="24"/>
          <w:szCs w:val="24"/>
          <w:lang w:eastAsia="nb-NO"/>
        </w:rPr>
        <w:lastRenderedPageBreak/>
        <w:t>Dette gjelder selv om tingen ikke er kommet fram eller kjøperen ikke har hatt høve til å undersøke den.</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78" w:name="map013"/>
      <w:bookmarkEnd w:id="78"/>
      <w:r w:rsidRPr="007840B0">
        <w:rPr>
          <w:rFonts w:ascii="Arial" w:eastAsia="Times New Roman" w:hAnsi="Arial" w:cs="Arial"/>
          <w:b/>
          <w:bCs/>
          <w:color w:val="CC052B"/>
          <w:sz w:val="24"/>
          <w:szCs w:val="24"/>
          <w:lang w:eastAsia="nb-NO"/>
        </w:rPr>
        <w:t>Kjøperens medvirkning ved oppfyllelse av kjøpet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79" w:name="50"/>
      <w:bookmarkEnd w:id="79"/>
      <w:r w:rsidRPr="007840B0">
        <w:rPr>
          <w:rFonts w:ascii="Arial" w:eastAsia="Times New Roman" w:hAnsi="Arial" w:cs="Arial"/>
          <w:b/>
          <w:bCs/>
          <w:color w:val="000000"/>
          <w:sz w:val="24"/>
          <w:szCs w:val="24"/>
          <w:lang w:eastAsia="nb-NO"/>
        </w:rPr>
        <w:t>§ 50.</w:t>
      </w:r>
      <w:r w:rsidRPr="007840B0">
        <w:rPr>
          <w:rFonts w:ascii="Arial" w:eastAsia="Times New Roman" w:hAnsi="Arial" w:cs="Arial"/>
          <w:color w:val="000000"/>
          <w:sz w:val="24"/>
          <w:szCs w:val="24"/>
          <w:lang w:eastAsia="nb-NO"/>
        </w:rPr>
        <w:t> Kjøperen skal</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yte slik medvirkning som det er rimelig å vente av ham for at selgeren skal kunne oppfylle kjøpet, og</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overta tingen ved å hente eller motta den.</w:t>
            </w:r>
          </w:p>
        </w:tc>
      </w:tr>
    </w:tbl>
    <w:p w:rsidR="007840B0" w:rsidRPr="007840B0" w:rsidRDefault="007840B0" w:rsidP="007840B0">
      <w:pPr>
        <w:spacing w:before="100" w:beforeAutospacing="1" w:after="100" w:afterAutospacing="1" w:line="240" w:lineRule="auto"/>
        <w:outlineLvl w:val="2"/>
        <w:rPr>
          <w:rFonts w:ascii="Times New Roman" w:eastAsia="Times New Roman" w:hAnsi="Times New Roman" w:cs="Times New Roman"/>
          <w:b/>
          <w:bCs/>
          <w:color w:val="CC052B"/>
          <w:sz w:val="24"/>
          <w:szCs w:val="24"/>
          <w:lang w:eastAsia="nb-NO"/>
        </w:rPr>
      </w:pPr>
      <w:bookmarkStart w:id="80" w:name="map014"/>
      <w:bookmarkEnd w:id="80"/>
      <w:r w:rsidRPr="007840B0">
        <w:rPr>
          <w:rFonts w:ascii="Arial" w:eastAsia="Times New Roman" w:hAnsi="Arial" w:cs="Arial"/>
          <w:b/>
          <w:bCs/>
          <w:color w:val="CC052B"/>
          <w:sz w:val="24"/>
          <w:szCs w:val="24"/>
          <w:lang w:eastAsia="nb-NO"/>
        </w:rPr>
        <w:t>Kapittel VII. Selgerens krav ved kontraktbrudd fra kjøperens side.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81" w:name="51"/>
      <w:bookmarkEnd w:id="81"/>
      <w:r w:rsidRPr="007840B0">
        <w:rPr>
          <w:rFonts w:ascii="Arial" w:eastAsia="Times New Roman" w:hAnsi="Arial" w:cs="Arial"/>
          <w:b/>
          <w:bCs/>
          <w:color w:val="000000"/>
          <w:sz w:val="24"/>
          <w:szCs w:val="24"/>
          <w:lang w:eastAsia="nb-NO"/>
        </w:rPr>
        <w:t>§ 51.</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Innledende bestemmelse.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Dersom kjøperen ikke betaler eller oppfyller sine øvrige plikter etter avtalen eller loven, og dette ikke beror på selgeren eller forhold på hans side, kan selgeren kreve oppfyllelse, heving og erstatning etter bestemmelsene i kapitlet her. Han kan også holde tilbake ytelse etter § 10 samt kreve rente etter § 71.</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Oppfyller ikke kjøperen sin plikt til å overta tingen, og beror dette ikke på selgeren eller forhold på hans side, gjelder isteden reglene i §§ 55, 57 (2) og 58.</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Selgerens rett til erstatning og rente faller ikke bort ved at han gjør gjeldende andre krav eller ved at disse ikke kan gjøres gjeldende.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82" w:name="52"/>
      <w:bookmarkEnd w:id="82"/>
      <w:r w:rsidRPr="007840B0">
        <w:rPr>
          <w:rFonts w:ascii="Arial" w:eastAsia="Times New Roman" w:hAnsi="Arial" w:cs="Arial"/>
          <w:b/>
          <w:bCs/>
          <w:color w:val="000000"/>
          <w:sz w:val="24"/>
          <w:szCs w:val="24"/>
          <w:lang w:eastAsia="nb-NO"/>
        </w:rPr>
        <w:t>§ 52.</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Rett til oppfyllelse ved å kreve betaling. Avbestilling.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Selgeren kan fastholde kjøpet og kreve at kjøperen betaler kjøpesummen. Dette gjelder likevel ikke så lenge betalingen hindres av stans i samferdselen eller betalingsformidlingen eller annet forhold utenfor kjøperens kontroll og som han ikke kan overvinne.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Avbestiller kjøperen ting som skal tilvirkes særskilt for ham, kan selgeren ikke fastholde kjøpet ved å fortsette tilvirkingen, gjøre andre forberedelser til leveringen samt kreve betaling, med mindre avbrudd ville føre med seg betydelig ulempe for ham eller risiko for at han ikke får erstattet tap som avbestillingen medfører. Kan selgeren ikke fastholde kjøpet, utmåles erstatning for tap som følge av avbestillingen i samsvar med reglene i kapittel X.</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Er tingen ennå ikke levert, taper selgeren sin rett til å kreve oppfyllelse om han venter urimelig lenge med å fremme kravet.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83" w:name="53"/>
      <w:bookmarkEnd w:id="83"/>
      <w:r w:rsidRPr="007840B0">
        <w:rPr>
          <w:rFonts w:ascii="Arial" w:eastAsia="Times New Roman" w:hAnsi="Arial" w:cs="Arial"/>
          <w:b/>
          <w:bCs/>
          <w:color w:val="000000"/>
          <w:sz w:val="24"/>
          <w:szCs w:val="24"/>
          <w:lang w:eastAsia="nb-NO"/>
        </w:rPr>
        <w:t>§ 53.</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Rett til oppfyllelse ved å kreve medvirkning til kjøpet.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Om selgerens rett til å kreve oppfyllelse av kjøperens plikt til å medvirke til kjøpet gjelder § 23 tilsvarende.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84" w:name="54"/>
      <w:bookmarkEnd w:id="84"/>
      <w:r w:rsidRPr="007840B0">
        <w:rPr>
          <w:rFonts w:ascii="Arial" w:eastAsia="Times New Roman" w:hAnsi="Arial" w:cs="Arial"/>
          <w:b/>
          <w:bCs/>
          <w:color w:val="000000"/>
          <w:sz w:val="24"/>
          <w:szCs w:val="24"/>
          <w:lang w:eastAsia="nb-NO"/>
        </w:rPr>
        <w:t>§ 54.</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Heving når kjøperen ikke betaler.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Selgeren kan heve kjøpet på grunn av forsinket betaling dersom kjøperens kontraktbrudd er vesentlig.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Kjøpet kan også heves dersom kjøperen ikke betaler kjøpesummen innen en rimelig tilleggsfrist som selgeren har fastsatt for oppfyllelse.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(3) Mens tilleggsfristen løper kan selgeren ikke heve, med mindre kjøperen har sagt at han ikke vil oppfylle innen fristen.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(4) Er tingen allerede overtatt av kjøperen, kan selgeren bare heve dersom han har tatt forbehold om det eller kjøperen avviser tingen. Et internasjonalt kjøp kan likevel heves uten slikt forbehold, for så vidt hevingen ikke har betydning for den rett tredjemann, derunder kjøperens bo, har til tingen.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85" w:name="55"/>
      <w:bookmarkEnd w:id="85"/>
      <w:r w:rsidRPr="007840B0">
        <w:rPr>
          <w:rFonts w:ascii="Arial" w:eastAsia="Times New Roman" w:hAnsi="Arial" w:cs="Arial"/>
          <w:b/>
          <w:bCs/>
          <w:color w:val="000000"/>
          <w:sz w:val="24"/>
          <w:szCs w:val="24"/>
          <w:lang w:eastAsia="nb-NO"/>
        </w:rPr>
        <w:t>§ 55.</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Heving når kjøperen ikke medvirker.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Selgeren kan heve kjøpet når kjøperen ikke medvirker til kjøpet, dersom kontraktbruddet er vesentlig. Selgeren kan på samme vilkår heve kjøpet når kjøperen ikke overtar tingen etter § 50 bokstav (b) og selgeren har en særlig interesse i å bli av med den.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Kjøpet kan også heves når kjøperen innen en rimelig tilleggsfrist som selgeren har fastsatt for oppfyllelse,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ikke medvirker til kjøpet, eller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ikke overtar tingen i tilfelle hvor selgeren har en særlig interesse i å bli av med den.</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(3) Mens tilleggsfristen løper kan selgeren ikke heve, med mindre kjøperen har sagt at han ikke vil oppfylle innen fristen.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86" w:name="56"/>
      <w:bookmarkEnd w:id="86"/>
      <w:r w:rsidRPr="007840B0">
        <w:rPr>
          <w:rFonts w:ascii="Arial" w:eastAsia="Times New Roman" w:hAnsi="Arial" w:cs="Arial"/>
          <w:b/>
          <w:bCs/>
          <w:color w:val="000000"/>
          <w:sz w:val="24"/>
          <w:szCs w:val="24"/>
          <w:lang w:eastAsia="nb-NO"/>
        </w:rPr>
        <w:t>§ 56.</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Levering etter hvert.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Skal selgeren levere etter hvert og kjøperen betale eller medvirke i tilsvarende poster, og det er kontraktbrudd fra kjøperens side ved en enkelt levering, kan selgeren heve for denne levering etter reglene i §§ 54 og 55.</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Gir kontraktbruddet selgeren god grunn til å rekne med at det vil inntre kontraktbrudd som vil gi hevingsrett ved seinere leveringer, kan han på dette grunnlag heve for disse leveringer dersom det skjer innen rimelig tid.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87" w:name="57"/>
      <w:bookmarkEnd w:id="87"/>
      <w:r w:rsidRPr="007840B0">
        <w:rPr>
          <w:rFonts w:ascii="Arial" w:eastAsia="Times New Roman" w:hAnsi="Arial" w:cs="Arial"/>
          <w:b/>
          <w:bCs/>
          <w:color w:val="000000"/>
          <w:sz w:val="24"/>
          <w:szCs w:val="24"/>
          <w:lang w:eastAsia="nb-NO"/>
        </w:rPr>
        <w:t>§ 57.</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Erstatning.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Selgeren kan kreve erstatning for det tap han lider som følge av forsinkelse med betalingen fra kjøperens side. Dette gjelder likevel ikke så langt kjøperen godtgjør at forsinkelsen skyldes stans i samferdselen eller betalingsformidlingen eller annen hindring utenfor kjøperens kontroll og som han ikke med rimelighet kunne ventes å ha tatt i betraktning på avtaletiden eller å unngå eller overvinne følgene av. Reglene ellers i § 27 (2) og (3) gjelder tilsvarende.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Selgeren kan kreve erstatning etter reglene i § 27 for det tap han lider som følge av at</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kjøperen ikke medvirker ved oppfyllelsen av kjøpet, eller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kjøperen ikke i rett tid overtar tingen etter § 50 bokstav (b), i tilfelle hvor selgeren har en særlig interesse i å bli av med tingen.</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bookmarkStart w:id="88" w:name="58"/>
      <w:bookmarkEnd w:id="88"/>
      <w:r w:rsidRPr="007840B0">
        <w:rPr>
          <w:rFonts w:ascii="Arial" w:eastAsia="Times New Roman" w:hAnsi="Arial" w:cs="Arial"/>
          <w:b/>
          <w:bCs/>
          <w:color w:val="000000"/>
          <w:sz w:val="24"/>
          <w:szCs w:val="24"/>
          <w:lang w:eastAsia="nb-NO"/>
        </w:rPr>
        <w:t>§ 58.</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Opplysningsplikt om hindring.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xml:space="preserve">       Hindres kjøperen i å oppfylle kjøpet til rett tid, skal han gi selgeren melding om hindringen og dens virkning på muligheten for å oppfylle. Får selgeren ikke slik melding innen rimelig tid etter at kjøperen fikk eller burde ha fått kjennskap til </w:t>
      </w:r>
      <w:r w:rsidRPr="007840B0">
        <w:rPr>
          <w:rFonts w:ascii="Arial" w:eastAsia="Times New Roman" w:hAnsi="Arial" w:cs="Arial"/>
          <w:color w:val="000000"/>
          <w:sz w:val="24"/>
          <w:szCs w:val="24"/>
          <w:lang w:eastAsia="nb-NO"/>
        </w:rPr>
        <w:lastRenderedPageBreak/>
        <w:t>hindringen, kan selgeren kreve erstattet tap som kunne vært unngått om han hadde fått meldingen i tide.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89" w:name="59"/>
      <w:bookmarkEnd w:id="89"/>
      <w:r w:rsidRPr="007840B0">
        <w:rPr>
          <w:rFonts w:ascii="Arial" w:eastAsia="Times New Roman" w:hAnsi="Arial" w:cs="Arial"/>
          <w:b/>
          <w:bCs/>
          <w:color w:val="000000"/>
          <w:sz w:val="24"/>
          <w:szCs w:val="24"/>
          <w:lang w:eastAsia="nb-NO"/>
        </w:rPr>
        <w:t>§ 59.</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Selgerens frist for å heve.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Er kjøpesummen betalt, kan selgeren ikke heve kjøpet med mindre han gir kjøperen melding om det:</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ved forsinkelse, før han fikk vite om oppfyllelsen fra kjøperens side, eller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ved annet kontraktbrudd, innen rimelig tid etter at han fikk eller burde ha fått kjennskap til kontraktbruddet, eller etter at rimelig tilleggsfrist som følger av § 55 (2) er gått ut.</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bookmarkStart w:id="90" w:name="60"/>
      <w:bookmarkEnd w:id="90"/>
      <w:r w:rsidRPr="007840B0">
        <w:rPr>
          <w:rFonts w:ascii="Arial" w:eastAsia="Times New Roman" w:hAnsi="Arial" w:cs="Arial"/>
          <w:b/>
          <w:bCs/>
          <w:color w:val="000000"/>
          <w:sz w:val="24"/>
          <w:szCs w:val="24"/>
          <w:lang w:eastAsia="nb-NO"/>
        </w:rPr>
        <w:t>§ 60.</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Spesifikasjon.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Skal kjøperen bestemme tingens form, mål eller andre egenskaper og han ikke gjør det til avtalt tid eller innen rimelig tid etter å ha fått oppfordring fra selgeren, kan selgeren selv gjøre det i samsvar med hva han må anta er kjøperens interesse. Dette hindrer ikke selgeren i å gjøre gjeldende andre krav som han har.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Selgeren må opplyse kjøperen om de spesifikasjoner han vil bruke og gi kjøperen en rimelig frist til å endre spesifikasjonene. Gjør ikke kjøperen dette i tide etter å ha fått selgerens melding, blir selgerens spesifikasjoner bindende.</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91" w:name="map015"/>
      <w:bookmarkEnd w:id="91"/>
      <w:r w:rsidRPr="007840B0">
        <w:rPr>
          <w:rFonts w:ascii="Arial" w:eastAsia="Times New Roman" w:hAnsi="Arial" w:cs="Arial"/>
          <w:b/>
          <w:bCs/>
          <w:color w:val="CC052B"/>
          <w:sz w:val="24"/>
          <w:szCs w:val="24"/>
          <w:lang w:eastAsia="nb-NO"/>
        </w:rPr>
        <w:t>Kapittel VIII. Fellesregler om forventet kontraktbrudd, insolvens m 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92" w:name="61"/>
      <w:bookmarkEnd w:id="92"/>
      <w:r w:rsidRPr="007840B0">
        <w:rPr>
          <w:rFonts w:ascii="Arial" w:eastAsia="Times New Roman" w:hAnsi="Arial" w:cs="Arial"/>
          <w:b/>
          <w:bCs/>
          <w:color w:val="000000"/>
          <w:sz w:val="24"/>
          <w:szCs w:val="24"/>
          <w:lang w:eastAsia="nb-NO"/>
        </w:rPr>
        <w:t>§ 61.</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Forventet kontraktbrudd.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Dersom det etter kjøpet framgår av en parts handlemåte eller av en alvorlig svikt i hans kredittverdighet eller evne til å oppfylle at han ikke kommer til å oppfylle en vesentlig del av sine plikter, kan den annen part innstille sin oppfyllelse og holde sin ytelse tilbake.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Har selgeren allerede sendt tingen og viser det seg forhold på kjøperens side som nevnt i første ledd, kan han hindre at tingen blir overgitt til kjøperen eller hans bo. Dette gjelder selv om kjøperen eller boet har mottatt transportdokument.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Den part som innstiller oppfyllelsen eller hindrer at tingen blir overgitt, må straks varsle den annen part. Blir varsel ikke gitt, kan den annen part kreve erstattet tap som kunne vært unngått om han var blitt varslet.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(4) Part som har innstilt sin oppfyllelse eller hindret at tingen blir overgitt, må fortsette oppfyllelsen dersom den annen part stiller betryggende sikkerhet for sin oppfyllelse.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93" w:name="62"/>
      <w:bookmarkEnd w:id="93"/>
      <w:r w:rsidRPr="007840B0">
        <w:rPr>
          <w:rFonts w:ascii="Arial" w:eastAsia="Times New Roman" w:hAnsi="Arial" w:cs="Arial"/>
          <w:b/>
          <w:bCs/>
          <w:color w:val="000000"/>
          <w:sz w:val="24"/>
          <w:szCs w:val="24"/>
          <w:lang w:eastAsia="nb-NO"/>
        </w:rPr>
        <w:t>§ 62.</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Heving ved forventet kontraktbrudd.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Er det før tiden for oppfyllelse klart at det vil inntre kontraktbrudd som vil gi en part hevingsrett, kan han heve kjøpet allerede før tiden for oppfyllelse. Hevingen kan avverges dersom den annen part straks stiller betryggende sikkerhet for at kjøpet vil bli oppfylt.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Når tiden tillater det, skal den part som akter å heve, varsle den annen part så denne får høve til å skaffe sikkerhet for å unngå heving.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94" w:name="63"/>
      <w:bookmarkEnd w:id="94"/>
      <w:r w:rsidRPr="007840B0">
        <w:rPr>
          <w:rFonts w:ascii="Arial" w:eastAsia="Times New Roman" w:hAnsi="Arial" w:cs="Arial"/>
          <w:b/>
          <w:bCs/>
          <w:color w:val="000000"/>
          <w:sz w:val="24"/>
          <w:szCs w:val="24"/>
          <w:lang w:eastAsia="nb-NO"/>
        </w:rPr>
        <w:t>§ 63.</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Insolvensbehandling.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       Kommer en av partene under insolvensbehandling, gjelder bestemmelsene i dekningsloven kapittel 7.</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3 sep 1999 nr. 72 (i kraft 1 jan 2000 iflg. res. 3 sep 1999 nr. 983).</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95" w:name="map016"/>
      <w:bookmarkEnd w:id="95"/>
      <w:r w:rsidRPr="007840B0">
        <w:rPr>
          <w:rFonts w:ascii="Arial" w:eastAsia="Times New Roman" w:hAnsi="Arial" w:cs="Arial"/>
          <w:b/>
          <w:bCs/>
          <w:color w:val="CC052B"/>
          <w:sz w:val="24"/>
          <w:szCs w:val="24"/>
          <w:lang w:eastAsia="nb-NO"/>
        </w:rPr>
        <w:t>Kapittel IX. Fellesregler om heving eller omlevering.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96" w:name="64"/>
      <w:bookmarkEnd w:id="96"/>
      <w:r w:rsidRPr="007840B0">
        <w:rPr>
          <w:rFonts w:ascii="Arial" w:eastAsia="Times New Roman" w:hAnsi="Arial" w:cs="Arial"/>
          <w:b/>
          <w:bCs/>
          <w:color w:val="000000"/>
          <w:sz w:val="24"/>
          <w:szCs w:val="24"/>
          <w:lang w:eastAsia="nb-NO"/>
        </w:rPr>
        <w:t>§ 64.</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Virkninger.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Når kjøpet heves faller partenes plikt til å oppfylle kjøpet bort.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Er kjøpet helt eller delvis oppfylt fra noen av sidene, kan det mottatte kreves tilbakeført. En part kan likevel holde tilbake det han har mottatt inntil den annen gir tilbake det han har fått. Tilsvarende gjelder når parten har krav på erstatning eller rente og betryggende sikkerhet ikke blir stilt.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Skal selgeren omlevere, kan kjøperen holde tilbake det han har mottatt, inntil omlevering skjer.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(4) Hevingen har ingen betydning for avtalevilkår om forretningshemmeligheter, om løsning av tvister eller om partenes rettigheter og plikter som følge av hevingen.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97" w:name="65"/>
      <w:bookmarkEnd w:id="97"/>
      <w:r w:rsidRPr="007840B0">
        <w:rPr>
          <w:rFonts w:ascii="Arial" w:eastAsia="Times New Roman" w:hAnsi="Arial" w:cs="Arial"/>
          <w:b/>
          <w:bCs/>
          <w:color w:val="000000"/>
          <w:sz w:val="24"/>
          <w:szCs w:val="24"/>
          <w:lang w:eastAsia="nb-NO"/>
        </w:rPr>
        <w:t>§ 65.</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Avkasting og rente ved tilbakeføring.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Heves kjøpet, skal kjøperen godskrive selgeren avkasting som han har hatt av tingen og gi rimelig vederlag for vesentlig nytte han ellers har hatt av den.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Dersom selgeren skal betale kjøpesummen tilbake, plikter han å betale rente etter § 71 fra den dag han mottok betalingen.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98" w:name="66"/>
      <w:bookmarkEnd w:id="98"/>
      <w:r w:rsidRPr="007840B0">
        <w:rPr>
          <w:rFonts w:ascii="Arial" w:eastAsia="Times New Roman" w:hAnsi="Arial" w:cs="Arial"/>
          <w:b/>
          <w:bCs/>
          <w:color w:val="000000"/>
          <w:sz w:val="24"/>
          <w:szCs w:val="24"/>
          <w:lang w:eastAsia="nb-NO"/>
        </w:rPr>
        <w:t>§ 66.</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Tap av krav på heving og omlevering.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Kjøperen kan heve kjøpet eller kreve omlevering bare dersom han leverer tingen tilbake i vesentlig samme stand og mengde som han mottok den. Han taper likevel ikke retten til å heve eller kreve omlevering dersom</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årsaken til at det er umulig å tilbakelevere tingen i vesentlig samme stand og mengde, er tingens egen beskaffenhet eller annet forhold som ikke beror på kjøperen;</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tingen helt eller delvis er gått til grunne eller forringet som følge av handling som trengs for å undersøke om tingen har mangel; eller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tingen helt eller delvis er solgt videre i vanlig omsetning eller er forbrukt eller forandret av kjøperen under forutsatt bruk før han oppdaget eller burde ha oppdaget den mangel som er årsak til avvisingen.</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(2) Kjøperen taper heller ikke retten til å heve kjøpet eller kreve omlevering dersom han ved tilbakeleveringen erstatter den verdireduksjon tingen har hatt. Bestemmelsen her gjelder ikke internasjonalt kjøp.</w:t>
      </w: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99" w:name="map017"/>
      <w:bookmarkEnd w:id="99"/>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100" w:name="_GoBack"/>
      <w:bookmarkEnd w:id="100"/>
      <w:r w:rsidRPr="007840B0">
        <w:rPr>
          <w:rFonts w:ascii="Arial" w:eastAsia="Times New Roman" w:hAnsi="Arial" w:cs="Arial"/>
          <w:b/>
          <w:bCs/>
          <w:color w:val="CC052B"/>
          <w:sz w:val="24"/>
          <w:szCs w:val="24"/>
          <w:lang w:eastAsia="nb-NO"/>
        </w:rPr>
        <w:lastRenderedPageBreak/>
        <w:t>Kapittel X. Erstatningens omfang. Rente.</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101" w:name="map018"/>
      <w:bookmarkEnd w:id="101"/>
      <w:r w:rsidRPr="007840B0">
        <w:rPr>
          <w:rFonts w:ascii="Arial" w:eastAsia="Times New Roman" w:hAnsi="Arial" w:cs="Arial"/>
          <w:b/>
          <w:bCs/>
          <w:color w:val="CC052B"/>
          <w:sz w:val="24"/>
          <w:szCs w:val="24"/>
          <w:lang w:eastAsia="nb-NO"/>
        </w:rPr>
        <w:t>Omfanget av erstatning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02" w:name="67"/>
      <w:bookmarkEnd w:id="102"/>
      <w:r w:rsidRPr="007840B0">
        <w:rPr>
          <w:rFonts w:ascii="Arial" w:eastAsia="Times New Roman" w:hAnsi="Arial" w:cs="Arial"/>
          <w:b/>
          <w:bCs/>
          <w:color w:val="000000"/>
          <w:sz w:val="24"/>
          <w:szCs w:val="24"/>
          <w:lang w:eastAsia="nb-NO"/>
        </w:rPr>
        <w:t>§ 67.</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Alminnelig regel.</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Erstatning for kontraktbrudd fra en parts side skal svare til det tap, herunder utlegg, prisforskjell og tapt fortjeneste, som den annen part er påført ved kontraktbruddet. Dette gjelder likevel bare tap som en med rimelighet kunne ha forutsett som en mulig følge av kontraktbruddet.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Som indirekte tap reknes:</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tap som følge av minsket eller bortfalt produksjon eller omsetning (driftsavbrudd)</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tap som følge av at tingen ikke kan nyttiggjøres som forutsatt (avsavn)</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tapt fortjeneste som følge av at en kontrakt med tredjemann faller bort eller ikke blir riktig oppfylt, men bare for så vidt kjøperen uten rimelig grunn lar være å foreta dekningskjøp eller treffe andre tiltak for å unngå eller minske tapet</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(d)</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tap som følge av skade på annet enn salgstingen selv og gjenstander som den brukes til framstilling av eller som har nær og direkte sammenheng med dens forutsatte bruk.</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(3) Reglene i andre ledd gjelder ikke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kostnader ved vanlige tiltak som kompenserer at salgstingen er forsinket eller har mangler,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kostnader ved tiltak som begrenser annet tap enn det som andre ledd omfatter, eller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c)</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erstatning utbetalt til en forbrukerkjøper etter reglene i forbrukerkjøpsloven § 34.</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17"/>
          <w:szCs w:val="17"/>
          <w:lang w:eastAsia="nb-NO"/>
        </w:rPr>
        <w:t>Endret ved lov 21 juni 2002 nr. 34 (i kraft 1 juli 2002).</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03" w:name="68"/>
      <w:bookmarkEnd w:id="103"/>
      <w:r w:rsidRPr="007840B0">
        <w:rPr>
          <w:rFonts w:ascii="Arial" w:eastAsia="Times New Roman" w:hAnsi="Arial" w:cs="Arial"/>
          <w:b/>
          <w:bCs/>
          <w:color w:val="000000"/>
          <w:sz w:val="24"/>
          <w:szCs w:val="24"/>
          <w:lang w:eastAsia="nb-NO"/>
        </w:rPr>
        <w:t>§ 68.</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Prisforskjell ved dekningstransaksjon.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Dersom kjøpet heves og kjøperen foretar dekningskjøp eller selgeren dekningssalg på forsvarlig måte og innen rimelig tid etter hevingen, legges kjøpesummen og prisen etter dekningstransaksjonen til grunn når prisforskjell skal reknes ut.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04" w:name="69"/>
      <w:bookmarkEnd w:id="104"/>
      <w:r w:rsidRPr="007840B0">
        <w:rPr>
          <w:rFonts w:ascii="Arial" w:eastAsia="Times New Roman" w:hAnsi="Arial" w:cs="Arial"/>
          <w:b/>
          <w:bCs/>
          <w:color w:val="000000"/>
          <w:sz w:val="24"/>
          <w:szCs w:val="24"/>
          <w:lang w:eastAsia="nb-NO"/>
        </w:rPr>
        <w:t>§ 69.</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Prisforskjell når det ikke foreligger dekningstransaksjon.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Er kjøpet hevet uten at det foretas dekning som nevnt i § 68, og er det gjengs pris for tingen, legges kjøpesummen og den gjengse pris på hevingstiden til grunn når prisforskjell skal reknes ut. Blir kjøpet hevet etter at tingen er overtatt, skal isteden gjengs pris ved overtakelsen legges til grunn.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Som gjengs pris anses prisen på leveringsstedet for ting av samme slag eller, om det ikke gjelder noen gjengs pris der, på et annet sted som med rimelighet kan likestilles med dette, likevel slik at omsyn tas til forskjell i transportkostnader.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05" w:name="70"/>
      <w:bookmarkEnd w:id="105"/>
      <w:r w:rsidRPr="007840B0">
        <w:rPr>
          <w:rFonts w:ascii="Arial" w:eastAsia="Times New Roman" w:hAnsi="Arial" w:cs="Arial"/>
          <w:b/>
          <w:bCs/>
          <w:color w:val="000000"/>
          <w:sz w:val="24"/>
          <w:szCs w:val="24"/>
          <w:lang w:eastAsia="nb-NO"/>
        </w:rPr>
        <w:t>§ 70.</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Plikt til å begrense tap. Lemping av ansvaret. Internasjonalt kjøp.</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Den part som påroper kontraktbrudd fra den annens side, skal ved rimelige tiltak begrense sitt tap. Forsømmer han dette, må han selv bære den tilsvarende del av tapet.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(2) Erstatning kan settes ned dersom den vil virke urimelig for den ansvarlige part ut fra tapets størrelse i forhold til det tap som vanligvis oppstår i liknende tilfelle, og tilhøva ellers.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I internasjonalt kjøp omfatter erstatningen bare tap som en med rimelighet kunne ha forutsett som en mulig følge av kontraktbruddet, i lys av forhold som parten kjente eller burde ha kjent til på avtaletiden. Erstatningen i slikt kjøp kan ikke settes ned etter andre ledd.</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106" w:name="map019"/>
      <w:bookmarkEnd w:id="106"/>
      <w:r w:rsidRPr="007840B0">
        <w:rPr>
          <w:rFonts w:ascii="Arial" w:eastAsia="Times New Roman" w:hAnsi="Arial" w:cs="Arial"/>
          <w:b/>
          <w:bCs/>
          <w:color w:val="CC052B"/>
          <w:sz w:val="24"/>
          <w:szCs w:val="24"/>
          <w:lang w:eastAsia="nb-NO"/>
        </w:rPr>
        <w:t>Rente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07" w:name="71"/>
      <w:bookmarkEnd w:id="107"/>
      <w:r w:rsidRPr="007840B0">
        <w:rPr>
          <w:rFonts w:ascii="Arial" w:eastAsia="Times New Roman" w:hAnsi="Arial" w:cs="Arial"/>
          <w:b/>
          <w:bCs/>
          <w:color w:val="000000"/>
          <w:sz w:val="24"/>
          <w:szCs w:val="24"/>
          <w:lang w:eastAsia="nb-NO"/>
        </w:rPr>
        <w:t>§ 71.</w:t>
      </w:r>
      <w:r w:rsidRPr="007840B0">
        <w:rPr>
          <w:rFonts w:ascii="Arial" w:eastAsia="Times New Roman" w:hAnsi="Arial" w:cs="Arial"/>
          <w:color w:val="000000"/>
          <w:sz w:val="24"/>
          <w:szCs w:val="24"/>
          <w:lang w:eastAsia="nb-NO"/>
        </w:rPr>
        <w:t> Betales ikke kjøpesummen eller annet utestående beløp i tide, skal skyldneren svare rente etter lov 17 desember 1976 nr. 100 om renter ved forsinket betaling m m.</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108" w:name="map020"/>
      <w:bookmarkEnd w:id="108"/>
      <w:r w:rsidRPr="007840B0">
        <w:rPr>
          <w:rFonts w:ascii="Arial" w:eastAsia="Times New Roman" w:hAnsi="Arial" w:cs="Arial"/>
          <w:b/>
          <w:bCs/>
          <w:color w:val="CC052B"/>
          <w:sz w:val="24"/>
          <w:szCs w:val="24"/>
          <w:lang w:eastAsia="nb-NO"/>
        </w:rPr>
        <w:t>Kapittel XI. Omsorg for tingen.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09" w:name="72"/>
      <w:bookmarkEnd w:id="109"/>
      <w:r w:rsidRPr="007840B0">
        <w:rPr>
          <w:rFonts w:ascii="Arial" w:eastAsia="Times New Roman" w:hAnsi="Arial" w:cs="Arial"/>
          <w:b/>
          <w:bCs/>
          <w:color w:val="000000"/>
          <w:sz w:val="24"/>
          <w:szCs w:val="24"/>
          <w:lang w:eastAsia="nb-NO"/>
        </w:rPr>
        <w:t>§ 72.</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Selgerens plikt til omsorg.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Dersom kjøperen ikke henter eller tar imot tingen i rett tid eller forhold ellers på hans side har medført at den ikke er overgitt til ham, skal selgeren for kjøperens rekning dra slik omsorg for tingen som er rimelig etter tilhøva, såframt han har tingen i sin varetekt eller for øvrig kan ta vare på den.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10" w:name="73"/>
      <w:bookmarkEnd w:id="110"/>
      <w:r w:rsidRPr="007840B0">
        <w:rPr>
          <w:rFonts w:ascii="Arial" w:eastAsia="Times New Roman" w:hAnsi="Arial" w:cs="Arial"/>
          <w:b/>
          <w:bCs/>
          <w:color w:val="000000"/>
          <w:sz w:val="24"/>
          <w:szCs w:val="24"/>
          <w:lang w:eastAsia="nb-NO"/>
        </w:rPr>
        <w:t>§ 73.</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Kjøperens plikt til omsorg.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Vil kjøperen avvise en ting som han har overtatt, skal han for selgerens rekning dra slik omsorg for den som er rimelig etter tilhøva.</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Vil kjøperen avvise en ting som er sendt til ham og stilt til hans rådighet på bestemmelsesstedet, skal han ta vare på den for selgerens rekning, såframt han kan gjøre dette uten å betale kjøpesummen eller pådra seg urimelig kostnad eller ulempe. Dette gjelder likevel ikke dersom selgeren eller noen på hans vegne kan ta seg av tingen på bestemmelsesstedet.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11" w:name="74"/>
      <w:bookmarkEnd w:id="111"/>
      <w:r w:rsidRPr="007840B0">
        <w:rPr>
          <w:rFonts w:ascii="Arial" w:eastAsia="Times New Roman" w:hAnsi="Arial" w:cs="Arial"/>
          <w:b/>
          <w:bCs/>
          <w:color w:val="000000"/>
          <w:sz w:val="24"/>
          <w:szCs w:val="24"/>
          <w:lang w:eastAsia="nb-NO"/>
        </w:rPr>
        <w:t>§ 74.</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Forvaring hos tredjemann.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En part som plikter å dra omsorg for tingen, kan la tredjemann forvare den for den annen parts rekning, såframt kostnadene ikke er uforsvarlige. Parten er fri for ansvar når forvareren er forsvarlig valgt og har mottatt tingen.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12" w:name="75"/>
      <w:bookmarkEnd w:id="112"/>
      <w:r w:rsidRPr="007840B0">
        <w:rPr>
          <w:rFonts w:ascii="Arial" w:eastAsia="Times New Roman" w:hAnsi="Arial" w:cs="Arial"/>
          <w:b/>
          <w:bCs/>
          <w:color w:val="000000"/>
          <w:sz w:val="24"/>
          <w:szCs w:val="24"/>
          <w:lang w:eastAsia="nb-NO"/>
        </w:rPr>
        <w:t>§ 75.</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Erstatning og sikkerhet for kostnader.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Den som drar omsorg for tingen for motpartens rekning, har rett til dekning av forsvarlige kostnader til dette. Han kan holde tingen tilbake inntil kostnadene dekkes eller betryggende sikkerhet stilles.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13" w:name="76"/>
      <w:bookmarkEnd w:id="113"/>
      <w:r w:rsidRPr="007840B0">
        <w:rPr>
          <w:rFonts w:ascii="Arial" w:eastAsia="Times New Roman" w:hAnsi="Arial" w:cs="Arial"/>
          <w:b/>
          <w:bCs/>
          <w:color w:val="000000"/>
          <w:sz w:val="24"/>
          <w:szCs w:val="24"/>
          <w:lang w:eastAsia="nb-NO"/>
        </w:rPr>
        <w:t>§ 76.</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Salg.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En part som plikter å dra omsorg for tingen, har rett til å selge den dersom han ikke uten vesentlig kostnad kan ta vare på den, eller den annen part venter urimelig lenge med å overta den eller betale kjøpesummen eller kostnadene med oppbevaringen.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(2) Dersom tingen er utsatt for raskt å bli ødelagt eller forringet, eller det vil være uforholdsmessig kostbart å ta vare på den, skal den så vidt mulig selges.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Salg skal skje på forsvarlig måte. Når det er mulig, skal den annen part gis rimelig varsel om at tingen vil bli solgt.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14" w:name="77"/>
      <w:bookmarkEnd w:id="114"/>
      <w:r w:rsidRPr="007840B0">
        <w:rPr>
          <w:rFonts w:ascii="Arial" w:eastAsia="Times New Roman" w:hAnsi="Arial" w:cs="Arial"/>
          <w:b/>
          <w:bCs/>
          <w:color w:val="000000"/>
          <w:sz w:val="24"/>
          <w:szCs w:val="24"/>
          <w:lang w:eastAsia="nb-NO"/>
        </w:rPr>
        <w:t>§ 77.</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Annen disposisjon enn salg.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Har en part rett til å selge tingen etter § 76, men kan den ikke selges eller er det klart at salgsutbyttet ikke ville dekke salgskostnadene, kan parten rå over den på forsvarlig måte. Den annen part skal så vidt mulig gis varsel.</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15" w:name="78"/>
      <w:bookmarkEnd w:id="115"/>
      <w:r w:rsidRPr="007840B0">
        <w:rPr>
          <w:rFonts w:ascii="Arial" w:eastAsia="Times New Roman" w:hAnsi="Arial" w:cs="Arial"/>
          <w:b/>
          <w:bCs/>
          <w:color w:val="000000"/>
          <w:sz w:val="24"/>
          <w:szCs w:val="24"/>
          <w:lang w:eastAsia="nb-NO"/>
        </w:rPr>
        <w:t>§ 78.</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Regnskap og godskriving av utbytte.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Omsorgsparten skal godskrive den annen part det som er innvunnet ved salg eller på annen måte samt gi ham regnskap over sine kostnader. Overskott tilfaller den annen part.</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116" w:name="map021"/>
      <w:bookmarkEnd w:id="116"/>
      <w:r w:rsidRPr="007840B0">
        <w:rPr>
          <w:rFonts w:ascii="Arial" w:eastAsia="Times New Roman" w:hAnsi="Arial" w:cs="Arial"/>
          <w:b/>
          <w:bCs/>
          <w:color w:val="CC052B"/>
          <w:sz w:val="24"/>
          <w:szCs w:val="24"/>
          <w:lang w:eastAsia="nb-NO"/>
        </w:rPr>
        <w:t>Kapittel XII. Utbytte og annen avkasting.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17" w:name="79"/>
      <w:bookmarkEnd w:id="117"/>
      <w:r w:rsidRPr="007840B0">
        <w:rPr>
          <w:rFonts w:ascii="Arial" w:eastAsia="Times New Roman" w:hAnsi="Arial" w:cs="Arial"/>
          <w:b/>
          <w:bCs/>
          <w:color w:val="000000"/>
          <w:sz w:val="24"/>
          <w:szCs w:val="24"/>
          <w:lang w:eastAsia="nb-NO"/>
        </w:rPr>
        <w:t>§ 79.</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Avkasting av tingen.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Avkasting som tingen gir før den avtalte leveringstid, tilfaller selgeren, når det ikke var grunn til å rekne med at den ville falle seinere. Avkasting som tingen gir deretter, tilfaller kjøperen, når det ikke var grunn til å rekne med at den ville falle tidligere.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21 juni 2002 nr. 34 (i kraft 1 juli 2002).</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18" w:name="80"/>
      <w:bookmarkEnd w:id="118"/>
      <w:r w:rsidRPr="007840B0">
        <w:rPr>
          <w:rFonts w:ascii="Arial" w:eastAsia="Times New Roman" w:hAnsi="Arial" w:cs="Arial"/>
          <w:b/>
          <w:bCs/>
          <w:color w:val="000000"/>
          <w:sz w:val="24"/>
          <w:szCs w:val="24"/>
          <w:lang w:eastAsia="nb-NO"/>
        </w:rPr>
        <w:t>§ 80.</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Aksjer.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Kjøp av aksje omfatter det utbytte som ikke var forfalt før kjøpet. Det samme gjelder rett til å tegne nye aksjer når retten ikke kunne nyttes før kjøpet.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19" w:name="81"/>
      <w:bookmarkEnd w:id="119"/>
      <w:r w:rsidRPr="007840B0">
        <w:rPr>
          <w:rFonts w:ascii="Arial" w:eastAsia="Times New Roman" w:hAnsi="Arial" w:cs="Arial"/>
          <w:b/>
          <w:bCs/>
          <w:color w:val="000000"/>
          <w:sz w:val="24"/>
          <w:szCs w:val="24"/>
          <w:lang w:eastAsia="nb-NO"/>
        </w:rPr>
        <w:t>§ 81.</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Rentebærende fordring.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Kjøp av rentebærende fordring omfatter de renter som er påløpt, men ikke forfalt ved den avtalte leveringstid. Motverdien av slike renter skal betales som tillegg til kjøpesummen når ikke fordringen er solgt som usikker.</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120" w:name="map022"/>
      <w:bookmarkEnd w:id="120"/>
      <w:r w:rsidRPr="007840B0">
        <w:rPr>
          <w:rFonts w:ascii="Arial" w:eastAsia="Times New Roman" w:hAnsi="Arial" w:cs="Arial"/>
          <w:b/>
          <w:bCs/>
          <w:color w:val="CC052B"/>
          <w:sz w:val="24"/>
          <w:szCs w:val="24"/>
          <w:lang w:eastAsia="nb-NO"/>
        </w:rPr>
        <w:t>Kapittel XIII. Visse alminnelige bestemmelser.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21" w:name="82"/>
      <w:bookmarkEnd w:id="121"/>
      <w:r w:rsidRPr="007840B0">
        <w:rPr>
          <w:rFonts w:ascii="Arial" w:eastAsia="Times New Roman" w:hAnsi="Arial" w:cs="Arial"/>
          <w:b/>
          <w:bCs/>
          <w:color w:val="000000"/>
          <w:sz w:val="24"/>
          <w:szCs w:val="24"/>
          <w:lang w:eastAsia="nb-NO"/>
        </w:rPr>
        <w:t>§ 82.</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Risikoen for sending av meldinger.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Dersom en part gir melding i samsvar med loven og avsender den på en måte som er forsvarlig etter forholdene, og ikke annet framgår, kan avsenderen gjøre gjeldende at meldingen er gitt i tide selv om det oppstår forsinkelse eller feil under framsendingen eller meldingen ikke når fram til den annen part.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22" w:name="83"/>
      <w:bookmarkEnd w:id="122"/>
      <w:r w:rsidRPr="007840B0">
        <w:rPr>
          <w:rFonts w:ascii="Arial" w:eastAsia="Times New Roman" w:hAnsi="Arial" w:cs="Arial"/>
          <w:b/>
          <w:bCs/>
          <w:color w:val="000000"/>
          <w:sz w:val="24"/>
          <w:szCs w:val="24"/>
          <w:lang w:eastAsia="nb-NO"/>
        </w:rPr>
        <w:t>§ 83.</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Forretningssted.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Når en parts forretningssted har betydning og han har mer enn ett forretningssted, legges det forretningssted til grunn som har den nærmeste tilknytning til kjøpet, hensett til slike forhold som partene forutsatte på den tid da kjøpet ble inngått.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(2) Dersom en part ikke har forretningssted med tilknytning til kjøpet, legges isteden hans bosted til grunn.</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123" w:name="map023"/>
      <w:bookmarkEnd w:id="123"/>
      <w:r w:rsidRPr="007840B0">
        <w:rPr>
          <w:rFonts w:ascii="Arial" w:eastAsia="Times New Roman" w:hAnsi="Arial" w:cs="Arial"/>
          <w:b/>
          <w:bCs/>
          <w:color w:val="CC052B"/>
          <w:sz w:val="24"/>
          <w:szCs w:val="24"/>
          <w:lang w:eastAsia="nb-NO"/>
        </w:rPr>
        <w:t>Kapittel XIV. Krav mot tidligere salgsledd.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24" w:name="84"/>
      <w:bookmarkEnd w:id="124"/>
      <w:r w:rsidRPr="007840B0">
        <w:rPr>
          <w:rFonts w:ascii="Arial" w:eastAsia="Times New Roman" w:hAnsi="Arial" w:cs="Arial"/>
          <w:b/>
          <w:bCs/>
          <w:color w:val="000000"/>
          <w:sz w:val="24"/>
          <w:szCs w:val="24"/>
          <w:lang w:eastAsia="nb-NO"/>
        </w:rPr>
        <w:t>§ 84.</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Vilkår for krav mot tidligere salgsledd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Kjøperen kan gjøre krav som følge av mangel gjeldende mot et tidligere salgsledd, for så vidt tilsvarende krav på grunn av mangelen kan gjøres gjeldende av selgeren.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Ved salg mellom enkeltpersoner når kjøpet ikke hovedsakelig er knyttet til deres næringsvirksomhet, kan kjøperen uansett avtale også gjøre krav gjeldende mot tidligere yrkessalgsledd etter forbrukerkjøpsloven § 35.</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21 juni 2002 nr. 34 (i kraft 1 juli 2002).</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25" w:name="85"/>
      <w:bookmarkEnd w:id="125"/>
      <w:r w:rsidRPr="007840B0">
        <w:rPr>
          <w:rFonts w:ascii="Arial" w:eastAsia="Times New Roman" w:hAnsi="Arial" w:cs="Arial"/>
          <w:b/>
          <w:bCs/>
          <w:color w:val="000000"/>
          <w:sz w:val="24"/>
          <w:szCs w:val="24"/>
          <w:lang w:eastAsia="nb-NO"/>
        </w:rPr>
        <w:t>§ 85.</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Reklamasjon.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Kjøperen må gjøre sitt krav mot tidligere salgsledd gjeldende innen rimelig tid etter at han oppdaget eller burde ha oppdaget mangelen og seinest innen de reklamasjonsfrister som gjelder i forholdet mellom forgjengeren og det tidligere salgsledd.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Kjøperen må så snart det er rimelig høve til det underrette salgsleddet om hva han krever.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I den grad kjøperen i forbrukerkjøp gjør gjeldende krav mot selgeren som også kunne ha vært gjort gjeldende mot et tidligere yrkessalgsledd, gjelder reklamasjonsfristen i forbrukerkjøpsloven § 27 annet ledd for videre mangelskrav fra selgeren mot det tidligere yrkessalgsleddet. Bestemmelsen her gjelder tilsvarende for videre krav mellom tidligere yrkessalgsledd som følge av at forbrukerkjøperen har gjort gjeldende mangelskrav. Bestemmelsen her gjelder ikke internasjonalt kjøp.</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lover 13 juni 1997 nr. 43 (i kraft 1 juli 1998), 21 juni 2002 nr. 34 (i kraft 1 juli 2002).</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26" w:name="86"/>
      <w:bookmarkEnd w:id="126"/>
      <w:r w:rsidRPr="007840B0">
        <w:rPr>
          <w:rFonts w:ascii="Arial" w:eastAsia="Times New Roman" w:hAnsi="Arial" w:cs="Arial"/>
          <w:b/>
          <w:bCs/>
          <w:color w:val="000000"/>
          <w:sz w:val="24"/>
          <w:szCs w:val="24"/>
          <w:lang w:eastAsia="nb-NO"/>
        </w:rPr>
        <w:t>§ 86.</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Ansvar for opplysning etter § 18.</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Når tilvirker eller annen person i tidligere salgsledd har gitt opplysning som nevnt i § 18 (2), er han ansvarlig for tap kjøperen lider på grunn av opplysningen, i tilfelle solidarisk med selgeren. Reglene i § 40 gjelder tilsvarende.</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127" w:name="map024"/>
      <w:bookmarkEnd w:id="127"/>
      <w:r w:rsidRPr="007840B0">
        <w:rPr>
          <w:rFonts w:ascii="Arial" w:eastAsia="Times New Roman" w:hAnsi="Arial" w:cs="Arial"/>
          <w:b/>
          <w:bCs/>
          <w:color w:val="CC052B"/>
          <w:sz w:val="24"/>
          <w:szCs w:val="24"/>
          <w:lang w:eastAsia="nb-NO"/>
        </w:rPr>
        <w:t>Kapittel XV. Særregler for internasjonalt kjøp.</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28" w:name="87"/>
      <w:bookmarkEnd w:id="128"/>
      <w:r w:rsidRPr="007840B0">
        <w:rPr>
          <w:rFonts w:ascii="Arial" w:eastAsia="Times New Roman" w:hAnsi="Arial" w:cs="Arial"/>
          <w:b/>
          <w:bCs/>
          <w:color w:val="000000"/>
          <w:sz w:val="24"/>
          <w:szCs w:val="24"/>
          <w:lang w:eastAsia="nb-NO"/>
        </w:rPr>
        <w:t>§ 87.</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Internasjonalt kjøp.</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Med « internasjonalt kjøp » menes kjøp inngått mellom parter som har sitt forretningssted i ulike stater, forutsatt at dette framgår av avtalen, tidligere forretningsforhold mellom partene eller av opplysninger de har gitt før eller på den tid da kjøpet ble inngått.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29" w:name="88"/>
      <w:bookmarkEnd w:id="129"/>
      <w:r w:rsidRPr="007840B0">
        <w:rPr>
          <w:rFonts w:ascii="Arial" w:eastAsia="Times New Roman" w:hAnsi="Arial" w:cs="Arial"/>
          <w:b/>
          <w:bCs/>
          <w:color w:val="000000"/>
          <w:sz w:val="24"/>
          <w:szCs w:val="24"/>
          <w:lang w:eastAsia="nb-NO"/>
        </w:rPr>
        <w:t>§ 88.</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Tolking av loven. Uløste spørsmål. Direkte oppfyllelse.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xml:space="preserve">(1) I internasjonalt kjøp skal en ved tolkingen av reglene i loven ta omsyn til behovet for å fremme ensartet anvendelse av regler som bygger på FN-konvensjonen 1980 </w:t>
      </w:r>
      <w:r w:rsidRPr="007840B0">
        <w:rPr>
          <w:rFonts w:ascii="Arial" w:eastAsia="Times New Roman" w:hAnsi="Arial" w:cs="Arial"/>
          <w:color w:val="000000"/>
          <w:sz w:val="24"/>
          <w:szCs w:val="24"/>
          <w:lang w:eastAsia="nb-NO"/>
        </w:rPr>
        <w:lastRenderedPageBreak/>
        <w:t>om internasjonale løsørekjøp, til deres internasjonale karakter og til behovet for å holde seg til redelighet og god tro i internasjonal handel.</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Spørsmål om forhold som FN-konvensjonen omhandler, men ikke uttrykkelig løser, skal avgjøres i samsvar med de prinsipper konvensjonen bygger på, eller for øvrig i samsvar med det lands lov som skal legges til grunn etter reglene i internasjonal privatrett, jf lov 3 april 1964 nr. 1 om mellomfolkelegprivatrettslege reglar for lausøyrekjøp.</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For krav på direkte oppfyllelse som skal avgjøres her i riket eller etter norsk rett, gjelder alltid reglene i loven her, jf FN-konvensjonen artikkel 28.</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30" w:name="89"/>
      <w:bookmarkEnd w:id="130"/>
      <w:r w:rsidRPr="007840B0">
        <w:rPr>
          <w:rFonts w:ascii="Arial" w:eastAsia="Times New Roman" w:hAnsi="Arial" w:cs="Arial"/>
          <w:b/>
          <w:bCs/>
          <w:color w:val="000000"/>
          <w:sz w:val="24"/>
          <w:szCs w:val="24"/>
          <w:lang w:eastAsia="nb-NO"/>
        </w:rPr>
        <w:t>§ 89.</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Tolking av partsutsagn.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En parts utsagn eller handlemåte tolkes i samsvar med hans mening når den annen part forsto eller måtte forstå hva meningen var. Ellers legger en til grunn den forståelse som en fornuftig person i samme stilling som den annen part rimeligvis ville ha hatt under tilsvarende forhold.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Når en skal fastlegge meningen eller forståelsen etter første ledd, tas det omsyn til alle relevante forhold i saken, så som forhandlingene, den praksis partene har fulgt seg imellom, handelsbruk og partenes seinere handlemåte.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31" w:name="90"/>
      <w:bookmarkEnd w:id="131"/>
      <w:r w:rsidRPr="007840B0">
        <w:rPr>
          <w:rFonts w:ascii="Arial" w:eastAsia="Times New Roman" w:hAnsi="Arial" w:cs="Arial"/>
          <w:b/>
          <w:bCs/>
          <w:color w:val="000000"/>
          <w:sz w:val="24"/>
          <w:szCs w:val="24"/>
          <w:lang w:eastAsia="nb-NO"/>
        </w:rPr>
        <w:t>§ 90.</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Handelsbruk.</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Når ikke annet følger av avtalen, anses partene bundet av handelsbruk som de kjente eller burde ha kjent til, og som i internasjonal handel er velkjent og regelmessig fulgt av parter i tilsvarende handelsforhold. Handelsbruken anses da som en del av avtalen.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32" w:name="91"/>
      <w:bookmarkEnd w:id="132"/>
      <w:r w:rsidRPr="007840B0">
        <w:rPr>
          <w:rFonts w:ascii="Arial" w:eastAsia="Times New Roman" w:hAnsi="Arial" w:cs="Arial"/>
          <w:b/>
          <w:bCs/>
          <w:color w:val="000000"/>
          <w:sz w:val="24"/>
          <w:szCs w:val="24"/>
          <w:lang w:eastAsia="nb-NO"/>
        </w:rPr>
        <w:t>§ 91.</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Muntlig eller skriftlig avtale.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Et kjøp behøver ikke å sluttes eller bekreftes skriftlig og er ikke undergitt noe annet formkrav. Det kan bevises ved hjelp av ethvert bevismiddel, vitner medreknet.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En avtale kan endres eller bringes til opphør ved at partene blir enige om det.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Skriftlig avtale som bestemmer at endring eller avtale om opphør skal være skriftlig, kan ikke endres eller avtales opphørt på annen måte. Men en part kan ved sin handlemåte bli avskåret fra å gjøre en slik bestemmelse gjeldende, for så vidt som den annen part har innrettet seg i tillit til denne handlemåten.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33" w:name="92"/>
      <w:bookmarkEnd w:id="133"/>
      <w:r w:rsidRPr="007840B0">
        <w:rPr>
          <w:rFonts w:ascii="Arial" w:eastAsia="Times New Roman" w:hAnsi="Arial" w:cs="Arial"/>
          <w:b/>
          <w:bCs/>
          <w:color w:val="000000"/>
          <w:sz w:val="24"/>
          <w:szCs w:val="24"/>
          <w:lang w:eastAsia="nb-NO"/>
        </w:rPr>
        <w:t>§ 92.</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Fremmed lovgivning som krever skriftlig avtale.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Bestemmelsene i § 91 gjelder ikke internasjonalt kjøp hvor en part har sitt forretningssted i en konvensjonsstat hvis lovgivning ikke godtar andre avtaler enn skriftlige og som har satt fram erklæring i medhold av FN-konvensjonen 1980 om internasjonale løsørekjøp artikkel 96.</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34" w:name="93"/>
      <w:bookmarkEnd w:id="134"/>
      <w:r w:rsidRPr="007840B0">
        <w:rPr>
          <w:rFonts w:ascii="Arial" w:eastAsia="Times New Roman" w:hAnsi="Arial" w:cs="Arial"/>
          <w:b/>
          <w:bCs/>
          <w:color w:val="000000"/>
          <w:sz w:val="24"/>
          <w:szCs w:val="24"/>
          <w:lang w:eastAsia="nb-NO"/>
        </w:rPr>
        <w:t>§ 93.</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Telegram og teleks.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Telegram eller teleks kan nyttes uten hinder av §§ 91 og 92.</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35" w:name="94"/>
      <w:bookmarkEnd w:id="135"/>
      <w:r w:rsidRPr="007840B0">
        <w:rPr>
          <w:rFonts w:ascii="Arial" w:eastAsia="Times New Roman" w:hAnsi="Arial" w:cs="Arial"/>
          <w:b/>
          <w:bCs/>
          <w:color w:val="000000"/>
          <w:sz w:val="24"/>
          <w:szCs w:val="24"/>
          <w:lang w:eastAsia="nb-NO"/>
        </w:rPr>
        <w:t>§ 94.</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Vesentlig kontraktbrudd.</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lastRenderedPageBreak/>
        <w:t>       Et kontraktbrudd fra en parts side er vesentlig dersom det fører til slik skade for den annen part som vil stille denne betydelig dårligere enn han har rett til å vente etter avtalen, med mindre den misligholdende parten ikke forutså dette og heller ikke en fornuftig person i samme stilling og under samme forhold rimeligvis ville ha forutsatt det.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36" w:name="95"/>
      <w:bookmarkEnd w:id="136"/>
      <w:r w:rsidRPr="007840B0">
        <w:rPr>
          <w:rFonts w:ascii="Arial" w:eastAsia="Times New Roman" w:hAnsi="Arial" w:cs="Arial"/>
          <w:b/>
          <w:bCs/>
          <w:color w:val="000000"/>
          <w:sz w:val="24"/>
          <w:szCs w:val="24"/>
          <w:lang w:eastAsia="nb-NO"/>
        </w:rPr>
        <w:t>§ 95.</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Overlevering og retting av dokument.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Dersom selgeren plikter å overlevere dokument vedrørende tingen, skal han overlevere det til den tid, på det sted og i den stand som er avtalt. Har han overlevert dokumentet før avtalt tid, kan han innen den tid avhjelpe feil ved dokumentet, dersom det ikke volder kjøperen urimelig ulempe eller kostnad. Men kjøperen beholder sin rett til å kreve erstatning.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37" w:name="96"/>
      <w:bookmarkEnd w:id="137"/>
      <w:r w:rsidRPr="007840B0">
        <w:rPr>
          <w:rFonts w:ascii="Arial" w:eastAsia="Times New Roman" w:hAnsi="Arial" w:cs="Arial"/>
          <w:b/>
          <w:bCs/>
          <w:color w:val="000000"/>
          <w:sz w:val="24"/>
          <w:szCs w:val="24"/>
          <w:lang w:eastAsia="nb-NO"/>
        </w:rPr>
        <w:t>§ 96.</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Tredjemanns opphavsrett, industrielle rettsvern m m.</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Selgeren skal levere ting fri for en tredjemanns rett eller krav som bygger på opphavsrett til åndsverk, industrielt rettsvern eller annen immaterialrett, og som selgeren på avtaletiden kjente eller måtte kjenne til, såframt retten eller kravet bygger:</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på loven i den stat der tingen skal videreselges eller brukes, dersom det på avtaletiden var partenes forståelse at tingen skulle videreselges eller brukes i denne stat, eller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i andre tilfelle, på loven i den stat der kjøperen på avtaletiden har sitt forretningssted.</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r w:rsidRPr="007840B0">
        <w:rPr>
          <w:rFonts w:ascii="Arial" w:eastAsia="Times New Roman" w:hAnsi="Arial" w:cs="Arial"/>
          <w:color w:val="000000"/>
          <w:sz w:val="24"/>
          <w:szCs w:val="24"/>
          <w:lang w:eastAsia="nb-NO"/>
        </w:rPr>
        <w:t>(2) Selgerens forpliktelse etter første ledd gjelder ikke når:</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(a)</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kjøperen på avtaletiden kjente eller måtte kjenne til retten eller kravet, eller</w:t>
            </w:r>
          </w:p>
        </w:tc>
      </w:tr>
    </w:tbl>
    <w:p w:rsidR="007840B0" w:rsidRPr="007840B0" w:rsidRDefault="007840B0" w:rsidP="007840B0">
      <w:pPr>
        <w:spacing w:after="0" w:line="240" w:lineRule="auto"/>
        <w:rPr>
          <w:rFonts w:ascii="Arial" w:eastAsia="Times New Roman" w:hAnsi="Arial" w:cs="Arial"/>
          <w:vanish/>
          <w:color w:val="000000"/>
          <w:sz w:val="24"/>
          <w:szCs w:val="24"/>
          <w:lang w:eastAsia="nb-NO"/>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08"/>
        <w:gridCol w:w="8754"/>
      </w:tblGrid>
      <w:tr w:rsidR="007840B0" w:rsidRPr="007840B0" w:rsidTr="007840B0">
        <w:trPr>
          <w:tblCellSpacing w:w="15" w:type="dxa"/>
        </w:trPr>
        <w:tc>
          <w:tcPr>
            <w:tcW w:w="200" w:type="pct"/>
            <w:hideMark/>
          </w:tcPr>
          <w:p w:rsidR="007840B0" w:rsidRPr="007840B0" w:rsidRDefault="007840B0" w:rsidP="007840B0">
            <w:pPr>
              <w:spacing w:after="0" w:line="240" w:lineRule="auto"/>
              <w:jc w:val="right"/>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(b)</w:t>
            </w:r>
          </w:p>
        </w:tc>
        <w:tc>
          <w:tcPr>
            <w:tcW w:w="0" w:type="auto"/>
            <w:hideMark/>
          </w:tcPr>
          <w:p w:rsidR="007840B0" w:rsidRPr="007840B0" w:rsidRDefault="007840B0" w:rsidP="007840B0">
            <w:pPr>
              <w:spacing w:after="0" w:line="240" w:lineRule="auto"/>
              <w:rPr>
                <w:rFonts w:ascii="Times New Roman" w:eastAsia="Times New Roman" w:hAnsi="Times New Roman" w:cs="Times New Roman"/>
                <w:sz w:val="24"/>
                <w:szCs w:val="24"/>
                <w:lang w:eastAsia="nb-NO"/>
              </w:rPr>
            </w:pPr>
            <w:r w:rsidRPr="007840B0">
              <w:rPr>
                <w:rFonts w:ascii="Times New Roman" w:eastAsia="Times New Roman" w:hAnsi="Times New Roman" w:cs="Times New Roman"/>
                <w:sz w:val="24"/>
                <w:szCs w:val="24"/>
                <w:lang w:eastAsia="nb-NO"/>
              </w:rPr>
              <w:t>retten eller kravet er en følge av at selgeren har fulgt tekniske tegninger, beskrivelser, formler, mønstre eller andre spesifikasjoner skaffet av kjøperen.</w:t>
            </w:r>
          </w:p>
        </w:tc>
      </w:tr>
    </w:tbl>
    <w:p w:rsidR="007840B0" w:rsidRPr="007840B0" w:rsidRDefault="007840B0" w:rsidP="007840B0">
      <w:pPr>
        <w:spacing w:before="180" w:after="0" w:line="240" w:lineRule="auto"/>
        <w:rPr>
          <w:rFonts w:ascii="Times New Roman" w:eastAsia="Times New Roman" w:hAnsi="Times New Roman" w:cs="Times New Roman"/>
          <w:sz w:val="24"/>
          <w:szCs w:val="24"/>
          <w:lang w:eastAsia="nb-NO"/>
        </w:rPr>
      </w:pPr>
      <w:bookmarkStart w:id="138" w:name="97"/>
      <w:bookmarkEnd w:id="138"/>
      <w:r w:rsidRPr="007840B0">
        <w:rPr>
          <w:rFonts w:ascii="Arial" w:eastAsia="Times New Roman" w:hAnsi="Arial" w:cs="Arial"/>
          <w:b/>
          <w:bCs/>
          <w:color w:val="000000"/>
          <w:sz w:val="24"/>
          <w:szCs w:val="24"/>
          <w:lang w:eastAsia="nb-NO"/>
        </w:rPr>
        <w:t>§ 97.</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Unntak fra reklamasjonsreglene.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Selgeren kan ikke gjøre gjeldende at kjøperen har forsømt sin plikt til undersøkelse etter § 31 eller reklamasjon etter § 32, dersom han kjente eller måtte kjenne til det faktiske forhold mangelen gjelder, uten å opplyse kjøperen om det.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Ved rettsmangel eller annet tredjemannskrav etter §§ 41 eller 96 kan selgeren ikke gjøre gjeldende at kjøperen har forsømt seg som nevnt i første ledd, dersom selgeren kjente retten eller kravet og hva det går ut på. Toårsfristen for reklamasjon i § 32 (2) gjelder ikke i forhold til slikt krav.</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Selv om kjøperen ikke har gitt melding etter § 32 (1), kan han kreve prisavslag eller erstatning for annet tap enn tapt fortjeneste, såframt han hadde rimelig grunn til å la være å gi slik melding.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39" w:name="98"/>
      <w:bookmarkEnd w:id="139"/>
      <w:r w:rsidRPr="007840B0">
        <w:rPr>
          <w:rFonts w:ascii="Arial" w:eastAsia="Times New Roman" w:hAnsi="Arial" w:cs="Arial"/>
          <w:b/>
          <w:bCs/>
          <w:color w:val="000000"/>
          <w:sz w:val="24"/>
          <w:szCs w:val="24"/>
          <w:lang w:eastAsia="nb-NO"/>
        </w:rPr>
        <w:t>§ 98.</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Levering for tidlig eller i for stor mengde.</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(1) Leveres tingen for tidlig, kan kjøperen godta eller avvise leveringen, under iakttakelse av sin omsorgsplikt.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Leveres en større mengde enn avtalt, kan kjøperen godta leveringen eller avvise den overskytende mengde. Godtar han den overskytende mengde helt eller delvis, reknes prisen for denne forholdsmessig etter det prisgrunnlag som følger av avtalen.</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40" w:name="99"/>
      <w:bookmarkEnd w:id="140"/>
      <w:r w:rsidRPr="007840B0">
        <w:rPr>
          <w:rFonts w:ascii="Arial" w:eastAsia="Times New Roman" w:hAnsi="Arial" w:cs="Arial"/>
          <w:b/>
          <w:bCs/>
          <w:color w:val="000000"/>
          <w:sz w:val="24"/>
          <w:szCs w:val="24"/>
          <w:lang w:eastAsia="nb-NO"/>
        </w:rPr>
        <w:lastRenderedPageBreak/>
        <w:t>§ 99.</w:t>
      </w:r>
      <w:r w:rsidRPr="007840B0">
        <w:rPr>
          <w:rFonts w:ascii="Arial" w:eastAsia="Times New Roman" w:hAnsi="Arial" w:cs="Arial"/>
          <w:color w:val="000000"/>
          <w:sz w:val="24"/>
          <w:szCs w:val="24"/>
          <w:lang w:eastAsia="nb-NO"/>
        </w:rPr>
        <w:t> </w:t>
      </w:r>
      <w:r w:rsidRPr="007840B0">
        <w:rPr>
          <w:rFonts w:ascii="Arial" w:eastAsia="Times New Roman" w:hAnsi="Arial" w:cs="Arial"/>
          <w:i/>
          <w:iCs/>
          <w:color w:val="000000"/>
          <w:sz w:val="24"/>
          <w:szCs w:val="24"/>
          <w:lang w:eastAsia="nb-NO"/>
        </w:rPr>
        <w:t>Erstatning</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       § 27 (2) annet punktum gjelder ikke i internasjonale kjøp.</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Tilføyd ved lov 21 juni 2002 nr. 34 (i kraft 1 juli 2002).</w:t>
      </w:r>
    </w:p>
    <w:p w:rsidR="007840B0" w:rsidRPr="007840B0" w:rsidRDefault="007840B0" w:rsidP="007840B0">
      <w:pPr>
        <w:spacing w:before="100" w:beforeAutospacing="1" w:after="100" w:afterAutospacing="1" w:line="240" w:lineRule="auto"/>
        <w:outlineLvl w:val="2"/>
        <w:rPr>
          <w:rFonts w:ascii="Arial" w:eastAsia="Times New Roman" w:hAnsi="Arial" w:cs="Arial"/>
          <w:b/>
          <w:bCs/>
          <w:color w:val="CC052B"/>
          <w:sz w:val="24"/>
          <w:szCs w:val="24"/>
          <w:lang w:eastAsia="nb-NO"/>
        </w:rPr>
      </w:pPr>
      <w:bookmarkStart w:id="141" w:name="map025"/>
      <w:bookmarkEnd w:id="141"/>
      <w:r w:rsidRPr="007840B0">
        <w:rPr>
          <w:rFonts w:ascii="Arial" w:eastAsia="Times New Roman" w:hAnsi="Arial" w:cs="Arial"/>
          <w:b/>
          <w:bCs/>
          <w:color w:val="CC052B"/>
          <w:sz w:val="24"/>
          <w:szCs w:val="24"/>
          <w:lang w:eastAsia="nb-NO"/>
        </w:rPr>
        <w:t>Kapittel XVI. Ikrafttredelse. Oppheving av tidligere lov.</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bookmarkStart w:id="142" w:name="100"/>
      <w:bookmarkEnd w:id="142"/>
      <w:r w:rsidRPr="007840B0">
        <w:rPr>
          <w:rFonts w:ascii="Arial" w:eastAsia="Times New Roman" w:hAnsi="Arial" w:cs="Arial"/>
          <w:b/>
          <w:bCs/>
          <w:color w:val="000000"/>
          <w:sz w:val="24"/>
          <w:szCs w:val="24"/>
          <w:lang w:eastAsia="nb-NO"/>
        </w:rPr>
        <w:t>§ 100.</w:t>
      </w:r>
      <w:r w:rsidRPr="007840B0">
        <w:rPr>
          <w:rFonts w:ascii="Arial" w:eastAsia="Times New Roman" w:hAnsi="Arial" w:cs="Arial"/>
          <w:color w:val="000000"/>
          <w:sz w:val="24"/>
          <w:szCs w:val="24"/>
          <w:lang w:eastAsia="nb-NO"/>
        </w:rPr>
        <w:t> (1) Loven trer i kraft fra den dag Kongen fastsetter.</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(2) Fra samme tid oppheves lov 24 mai 1907 nr. 2 om kjøb.</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(3) Kongen kan bestemme at særreglene om internasjonalt kjøp, jf § 5 og kapittel XV, skal tre i kraft til en annen tid enn loven ellers.</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24"/>
          <w:szCs w:val="24"/>
          <w:lang w:eastAsia="nb-NO"/>
        </w:rPr>
        <w:t>(4) Den nye lov får bare anvendelse på avtaler som sluttes etter at den er trådt i kraft.</w:t>
      </w:r>
    </w:p>
    <w:p w:rsidR="007840B0" w:rsidRPr="007840B0" w:rsidRDefault="007840B0" w:rsidP="007840B0">
      <w:pPr>
        <w:spacing w:before="180" w:after="0" w:line="240" w:lineRule="auto"/>
        <w:rPr>
          <w:rFonts w:ascii="Arial" w:eastAsia="Times New Roman" w:hAnsi="Arial" w:cs="Arial"/>
          <w:color w:val="000000"/>
          <w:sz w:val="24"/>
          <w:szCs w:val="24"/>
          <w:lang w:eastAsia="nb-NO"/>
        </w:rPr>
      </w:pPr>
      <w:r w:rsidRPr="007840B0">
        <w:rPr>
          <w:rFonts w:ascii="Arial" w:eastAsia="Times New Roman" w:hAnsi="Arial" w:cs="Arial"/>
          <w:color w:val="000000"/>
          <w:sz w:val="17"/>
          <w:szCs w:val="17"/>
          <w:lang w:eastAsia="nb-NO"/>
        </w:rPr>
        <w:t>Endret ved lov 21 juni 2002 nr. 34 (i kraft 1 juli 2002), endret paragraftallet fra § 99.</w:t>
      </w:r>
    </w:p>
    <w:p w:rsidR="007840B0" w:rsidRDefault="007840B0"/>
    <w:sectPr w:rsidR="007840B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C66CC4"/>
    <w:multiLevelType w:val="hybridMultilevel"/>
    <w:tmpl w:val="72468160"/>
    <w:lvl w:ilvl="0" w:tplc="CCEC116A">
      <w:start w:val="4"/>
      <w:numFmt w:val="bullet"/>
      <w:lvlText w:val="-"/>
      <w:lvlJc w:val="left"/>
      <w:pPr>
        <w:ind w:left="720" w:hanging="360"/>
      </w:pPr>
      <w:rPr>
        <w:rFonts w:ascii="Arial" w:eastAsia="Times New Roman" w:hAnsi="Arial" w:cs="Aria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40B0"/>
    <w:rsid w:val="007840B0"/>
    <w:rsid w:val="00C176CA"/>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7840B0"/>
    <w:pPr>
      <w:spacing w:before="100" w:beforeAutospacing="1" w:after="100" w:afterAutospacing="1" w:line="240" w:lineRule="auto"/>
      <w:outlineLvl w:val="2"/>
    </w:pPr>
    <w:rPr>
      <w:rFonts w:ascii="Times New Roman" w:eastAsia="Times New Roman" w:hAnsi="Times New Roman" w:cs="Times New Roman"/>
      <w:b/>
      <w:bCs/>
      <w:sz w:val="27"/>
      <w:szCs w:val="27"/>
      <w:lang w:eastAsia="nb-N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7840B0"/>
    <w:rPr>
      <w:rFonts w:ascii="Times New Roman" w:eastAsia="Times New Roman" w:hAnsi="Times New Roman" w:cs="Times New Roman"/>
      <w:b/>
      <w:bCs/>
      <w:sz w:val="27"/>
      <w:szCs w:val="27"/>
      <w:lang w:eastAsia="nb-NO"/>
    </w:rPr>
  </w:style>
  <w:style w:type="character" w:customStyle="1" w:styleId="apple-style-span">
    <w:name w:val="apple-style-span"/>
    <w:basedOn w:val="DefaultParagraphFont"/>
    <w:rsid w:val="007840B0"/>
  </w:style>
  <w:style w:type="paragraph" w:styleId="NormalWeb">
    <w:name w:val="Normal (Web)"/>
    <w:basedOn w:val="Normal"/>
    <w:uiPriority w:val="99"/>
    <w:semiHidden/>
    <w:unhideWhenUsed/>
    <w:rsid w:val="007840B0"/>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customStyle="1" w:styleId="apple-converted-space">
    <w:name w:val="apple-converted-space"/>
    <w:basedOn w:val="DefaultParagraphFont"/>
    <w:rsid w:val="007840B0"/>
  </w:style>
  <w:style w:type="paragraph" w:styleId="ListParagraph">
    <w:name w:val="List Paragraph"/>
    <w:basedOn w:val="Normal"/>
    <w:uiPriority w:val="34"/>
    <w:qFormat/>
    <w:rsid w:val="007840B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7840B0"/>
    <w:pPr>
      <w:spacing w:before="100" w:beforeAutospacing="1" w:after="100" w:afterAutospacing="1" w:line="240" w:lineRule="auto"/>
      <w:outlineLvl w:val="2"/>
    </w:pPr>
    <w:rPr>
      <w:rFonts w:ascii="Times New Roman" w:eastAsia="Times New Roman" w:hAnsi="Times New Roman" w:cs="Times New Roman"/>
      <w:b/>
      <w:bCs/>
      <w:sz w:val="27"/>
      <w:szCs w:val="27"/>
      <w:lang w:eastAsia="nb-N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7840B0"/>
    <w:rPr>
      <w:rFonts w:ascii="Times New Roman" w:eastAsia="Times New Roman" w:hAnsi="Times New Roman" w:cs="Times New Roman"/>
      <w:b/>
      <w:bCs/>
      <w:sz w:val="27"/>
      <w:szCs w:val="27"/>
      <w:lang w:eastAsia="nb-NO"/>
    </w:rPr>
  </w:style>
  <w:style w:type="character" w:customStyle="1" w:styleId="apple-style-span">
    <w:name w:val="apple-style-span"/>
    <w:basedOn w:val="DefaultParagraphFont"/>
    <w:rsid w:val="007840B0"/>
  </w:style>
  <w:style w:type="paragraph" w:styleId="NormalWeb">
    <w:name w:val="Normal (Web)"/>
    <w:basedOn w:val="Normal"/>
    <w:uiPriority w:val="99"/>
    <w:semiHidden/>
    <w:unhideWhenUsed/>
    <w:rsid w:val="007840B0"/>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customStyle="1" w:styleId="apple-converted-space">
    <w:name w:val="apple-converted-space"/>
    <w:basedOn w:val="DefaultParagraphFont"/>
    <w:rsid w:val="007840B0"/>
  </w:style>
  <w:style w:type="paragraph" w:styleId="ListParagraph">
    <w:name w:val="List Paragraph"/>
    <w:basedOn w:val="Normal"/>
    <w:uiPriority w:val="34"/>
    <w:qFormat/>
    <w:rsid w:val="007840B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1068763">
      <w:bodyDiv w:val="1"/>
      <w:marLeft w:val="0"/>
      <w:marRight w:val="0"/>
      <w:marTop w:val="0"/>
      <w:marBottom w:val="0"/>
      <w:divBdr>
        <w:top w:val="none" w:sz="0" w:space="0" w:color="auto"/>
        <w:left w:val="none" w:sz="0" w:space="0" w:color="auto"/>
        <w:bottom w:val="none" w:sz="0" w:space="0" w:color="auto"/>
        <w:right w:val="none" w:sz="0" w:space="0" w:color="auto"/>
      </w:divBdr>
    </w:div>
    <w:div w:id="1045255161">
      <w:bodyDiv w:val="1"/>
      <w:marLeft w:val="0"/>
      <w:marRight w:val="0"/>
      <w:marTop w:val="0"/>
      <w:marBottom w:val="0"/>
      <w:divBdr>
        <w:top w:val="none" w:sz="0" w:space="0" w:color="auto"/>
        <w:left w:val="none" w:sz="0" w:space="0" w:color="auto"/>
        <w:bottom w:val="none" w:sz="0" w:space="0" w:color="auto"/>
        <w:right w:val="none" w:sz="0" w:space="0" w:color="auto"/>
      </w:divBdr>
    </w:div>
    <w:div w:id="1111559073">
      <w:bodyDiv w:val="1"/>
      <w:marLeft w:val="0"/>
      <w:marRight w:val="0"/>
      <w:marTop w:val="0"/>
      <w:marBottom w:val="0"/>
      <w:divBdr>
        <w:top w:val="none" w:sz="0" w:space="0" w:color="auto"/>
        <w:left w:val="none" w:sz="0" w:space="0" w:color="auto"/>
        <w:bottom w:val="none" w:sz="0" w:space="0" w:color="auto"/>
        <w:right w:val="none" w:sz="0" w:space="0" w:color="auto"/>
      </w:divBdr>
    </w:div>
    <w:div w:id="1171602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63</Pages>
  <Words>25491</Words>
  <Characters>135107</Characters>
  <Application>Microsoft Office Word</Application>
  <DocSecurity>0</DocSecurity>
  <Lines>1125</Lines>
  <Paragraphs>320</Paragraphs>
  <ScaleCrop>false</ScaleCrop>
  <Company/>
  <LinksUpToDate>false</LinksUpToDate>
  <CharactersWithSpaces>160278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John-Inge</dc:creator>
  <cp:lastModifiedBy>John-Inge</cp:lastModifiedBy>
  <cp:revision>1</cp:revision>
  <dcterms:created xsi:type="dcterms:W3CDTF">2010-12-02T21:02:00Z</dcterms:created>
  <dcterms:modified xsi:type="dcterms:W3CDTF">2010-12-02T21:09:00Z</dcterms:modified>
</cp:coreProperties>
</file>