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charts/chart4.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0394" w:rsidRPr="00A62A90" w:rsidRDefault="00A62A90">
      <w:pPr>
        <w:rPr>
          <w:b/>
          <w:sz w:val="32"/>
        </w:rPr>
      </w:pPr>
      <w:r w:rsidRPr="00A62A90">
        <w:rPr>
          <w:b/>
          <w:sz w:val="32"/>
        </w:rPr>
        <w:t>Marknadstilpassing av jakke</w:t>
      </w:r>
    </w:p>
    <w:p w:rsidR="00A62A90" w:rsidRDefault="00A62A90">
      <w:pPr>
        <w:rPr>
          <w:sz w:val="24"/>
        </w:rPr>
      </w:pPr>
    </w:p>
    <w:p w:rsidR="00A62A90" w:rsidRDefault="006911CC">
      <w:r>
        <w:t>Det står marknadsprisen (står ingenting om prisreduskjon</w:t>
      </w:r>
      <w:r w:rsidR="008E58F1">
        <w:t xml:space="preserve"> per eining</w:t>
      </w:r>
      <w:r>
        <w:t xml:space="preserve">). Reknar dermed med at denne jakka opererar i ein marknad med </w:t>
      </w:r>
      <w:r w:rsidR="008E58F1">
        <w:t xml:space="preserve">tilnærma </w:t>
      </w:r>
      <w:r>
        <w:t xml:space="preserve">fullkomen konkurranse der prisen er fast (marknadsprisen). </w:t>
      </w:r>
      <w:r w:rsidR="000358BC">
        <w:t xml:space="preserve">I ein slik marknad er prisen=DEK. (DEK er tilnærma marginalinntekt per eining, altså ca. det ein tenar på kvar nye eining. Når prisen er fast, så er det denne prisen ein tener på kvar nye eining). </w:t>
      </w:r>
    </w:p>
    <w:p w:rsidR="006911CC" w:rsidRDefault="006911CC"/>
    <w:p w:rsidR="006911CC" w:rsidRDefault="006911CC">
      <w:r>
        <w:t>Når eg set inn tala får eg då dette einingsdiagrammet:</w:t>
      </w:r>
    </w:p>
    <w:p w:rsidR="006911CC" w:rsidRDefault="006911CC"/>
    <w:p w:rsidR="006911CC" w:rsidRDefault="00CB5E09">
      <w:r>
        <w:rPr>
          <w:noProof/>
          <w:lang w:val="nb-NO" w:eastAsia="nb-NO"/>
        </w:rPr>
        <w:pict>
          <v:shapetype id="_x0000_t32" coordsize="21600,21600" o:spt="32" o:oned="t" path="m,l21600,21600e" filled="f">
            <v:path arrowok="t" fillok="f" o:connecttype="none"/>
            <o:lock v:ext="edit" shapetype="t"/>
          </v:shapetype>
          <v:shape id="_x0000_s1028" type="#_x0000_t32" style="position:absolute;margin-left:186.4pt;margin-top:371.05pt;width:.75pt;height:115.5pt;z-index:251660288" o:connectortype="straight">
            <v:stroke endarrow="block"/>
          </v:shape>
        </w:pict>
      </w:r>
      <w:r w:rsidR="002A0956">
        <w:rPr>
          <w:noProof/>
          <w:lang w:val="nb-NO" w:eastAsia="nb-NO"/>
        </w:rPr>
        <w:pict>
          <v:shape id="_x0000_s1029" type="#_x0000_t32" style="position:absolute;margin-left:318.4pt;margin-top:371.05pt;width:0;height:120.75pt;z-index:251661312" o:connectortype="straight">
            <v:stroke endarrow="block"/>
          </v:shape>
        </w:pict>
      </w:r>
      <w:r w:rsidR="005D0B62">
        <w:rPr>
          <w:noProof/>
          <w:lang w:val="nb-NO" w:eastAsia="nb-NO"/>
        </w:rPr>
        <w:pict>
          <v:shape id="_x0000_s1027" type="#_x0000_t32" style="position:absolute;margin-left:33.4pt;margin-top:385.3pt;width:227.25pt;height:0;flip:x;z-index:251659264" o:connectortype="straight">
            <v:stroke endarrow="block"/>
          </v:shape>
        </w:pict>
      </w:r>
      <w:r w:rsidR="004A7954">
        <w:rPr>
          <w:noProof/>
          <w:lang w:val="nb-NO" w:eastAsia="nb-NO"/>
        </w:rPr>
        <w:pict>
          <v:shape id="_x0000_s1026" type="#_x0000_t32" style="position:absolute;margin-left:260.65pt;margin-top:371.05pt;width:0;height:115.5pt;z-index:251658240" o:connectortype="straight">
            <v:stroke endarrow="block"/>
          </v:shape>
        </w:pict>
      </w:r>
      <w:r w:rsidR="000358BC" w:rsidRPr="000358BC">
        <w:drawing>
          <wp:inline distT="0" distB="0" distL="0" distR="0">
            <wp:extent cx="5329464" cy="6734175"/>
            <wp:effectExtent l="19050" t="0" r="23586" b="9525"/>
            <wp:docPr id="1" name="Diagram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0358BC" w:rsidRPr="00A62A90" w:rsidRDefault="000358BC"/>
    <w:p w:rsidR="000358BC" w:rsidRDefault="005B6DBB" w:rsidP="000358BC">
      <w:r>
        <w:lastRenderedPageBreak/>
        <w:t xml:space="preserve"> - </w:t>
      </w:r>
      <w:r w:rsidR="004A7954" w:rsidRPr="002A0956">
        <w:t>Optimal marknadstilpassing</w:t>
      </w:r>
      <w:r w:rsidR="004A7954">
        <w:rPr>
          <w:b/>
        </w:rPr>
        <w:t xml:space="preserve"> </w:t>
      </w:r>
      <w:r w:rsidR="000358BC">
        <w:t xml:space="preserve">har ein der DEK skjer DEI. Dette er fordi at </w:t>
      </w:r>
      <w:r w:rsidR="000358BC" w:rsidRPr="0071473E">
        <w:rPr>
          <w:i/>
        </w:rPr>
        <w:t>før</w:t>
      </w:r>
      <w:r w:rsidR="000358BC">
        <w:t xml:space="preserve"> dette punktet så er DEI høgare enn DEK og ein vil dermed heile tida tene litt på å auke produksjonen. Etter dette punktet, er DEK høgare enn DEI og ein vil dermed tape meir og meir på å produsere.</w:t>
      </w:r>
    </w:p>
    <w:p w:rsidR="004A7954" w:rsidRDefault="004A7954" w:rsidP="000358BC"/>
    <w:p w:rsidR="005D0B62" w:rsidRPr="002A0956" w:rsidRDefault="004A7954" w:rsidP="000358BC">
      <w:pPr>
        <w:rPr>
          <w:b/>
        </w:rPr>
      </w:pPr>
      <w:r>
        <w:t xml:space="preserve">I dette einingsdiagrammet </w:t>
      </w:r>
      <w:r w:rsidR="008D701C">
        <w:t xml:space="preserve">(diagrammet på førre side) </w:t>
      </w:r>
      <w:r>
        <w:t xml:space="preserve">er punktet der DEK skjer DEI ved ca. </w:t>
      </w:r>
      <w:r w:rsidRPr="004A7954">
        <w:rPr>
          <w:b/>
        </w:rPr>
        <w:t>2233</w:t>
      </w:r>
      <w:r>
        <w:t xml:space="preserve"> einingar. </w:t>
      </w:r>
      <w:r w:rsidR="005D0B62" w:rsidRPr="002A0956">
        <w:rPr>
          <w:b/>
        </w:rPr>
        <w:t>Optimal marknadstilpassing vert difor å selje 2233</w:t>
      </w:r>
      <w:r w:rsidR="005D0B62">
        <w:rPr>
          <w:b/>
        </w:rPr>
        <w:t xml:space="preserve"> einingar</w:t>
      </w:r>
      <w:r w:rsidR="00227934">
        <w:rPr>
          <w:b/>
        </w:rPr>
        <w:t xml:space="preserve"> </w:t>
      </w:r>
      <w:r w:rsidR="00227934">
        <w:t>(er nok meir sannsynleg at dei produserar ei mengd med eit rundare tal som 2200, men den mest nøyaktige tilpassinga er på 2233)</w:t>
      </w:r>
      <w:r w:rsidR="005D0B62">
        <w:rPr>
          <w:b/>
        </w:rPr>
        <w:t xml:space="preserve">. </w:t>
      </w:r>
      <w:r w:rsidR="005D0B62">
        <w:t xml:space="preserve">Ved denne mengda ligg </w:t>
      </w:r>
      <w:r w:rsidR="005D0B62">
        <w:rPr>
          <w:b/>
        </w:rPr>
        <w:t xml:space="preserve">SEK </w:t>
      </w:r>
      <w:r w:rsidR="005D0B62" w:rsidRPr="005D0B62">
        <w:rPr>
          <w:b/>
        </w:rPr>
        <w:t>på ca. 2200</w:t>
      </w:r>
      <w:r w:rsidR="005D0B62">
        <w:t xml:space="preserve"> kr. Prisen </w:t>
      </w:r>
      <w:r w:rsidR="005D0B62" w:rsidRPr="002A0956">
        <w:rPr>
          <w:b/>
        </w:rPr>
        <w:t xml:space="preserve">2500 (prisen er fast). </w:t>
      </w:r>
    </w:p>
    <w:p w:rsidR="008D701C" w:rsidRPr="002A0956" w:rsidRDefault="008D701C" w:rsidP="000358BC">
      <w:pPr>
        <w:rPr>
          <w:b/>
        </w:rPr>
      </w:pPr>
    </w:p>
    <w:p w:rsidR="008D701C" w:rsidRPr="008D701C" w:rsidRDefault="008D701C" w:rsidP="000358BC">
      <w:pPr>
        <w:rPr>
          <w:b/>
        </w:rPr>
      </w:pPr>
      <w:r w:rsidRPr="008D701C">
        <w:rPr>
          <w:b/>
        </w:rPr>
        <w:t>Med desse tala vert overskotet på:</w:t>
      </w:r>
    </w:p>
    <w:p w:rsidR="008D701C" w:rsidRPr="008D701C" w:rsidRDefault="008D701C" w:rsidP="000358BC">
      <w:pPr>
        <w:rPr>
          <w:b/>
        </w:rPr>
      </w:pPr>
    </w:p>
    <w:p w:rsidR="008D701C" w:rsidRPr="008D701C" w:rsidRDefault="008D701C" w:rsidP="000358BC">
      <w:pPr>
        <w:rPr>
          <w:b/>
        </w:rPr>
      </w:pPr>
      <w:r w:rsidRPr="008D701C">
        <w:rPr>
          <w:b/>
        </w:rPr>
        <w:t>(2500-2200)*2233 = 669 900</w:t>
      </w:r>
    </w:p>
    <w:p w:rsidR="008D701C" w:rsidRDefault="008D701C" w:rsidP="000358BC"/>
    <w:p w:rsidR="008D701C" w:rsidRDefault="008D701C" w:rsidP="008D701C">
      <w:r w:rsidRPr="002A0956">
        <w:t>Dekningspunkt,</w:t>
      </w:r>
      <w:r>
        <w:rPr>
          <w:b/>
        </w:rPr>
        <w:t xml:space="preserve"> </w:t>
      </w:r>
      <w:r>
        <w:t xml:space="preserve">der SEK = Pris. I dekningspunktet dekkjer prisen i alle kostnadane dine. </w:t>
      </w:r>
    </w:p>
    <w:p w:rsidR="008D701C" w:rsidRDefault="008D701C" w:rsidP="008D701C">
      <w:r>
        <w:t>Ein har nedre og øvre dekningspunkt. Mellom desse to punkta vil ein gå med overskot.</w:t>
      </w:r>
    </w:p>
    <w:p w:rsidR="008D701C" w:rsidRDefault="008D701C" w:rsidP="008D701C"/>
    <w:p w:rsidR="008D701C" w:rsidRDefault="008D701C" w:rsidP="008D701C">
      <w:r>
        <w:t xml:space="preserve">I dette einingsdiagrammet ligg det </w:t>
      </w:r>
      <w:r w:rsidRPr="008D701C">
        <w:rPr>
          <w:b/>
        </w:rPr>
        <w:t>nedre dekningspunktet på 1500 einingar</w:t>
      </w:r>
      <w:r>
        <w:t xml:space="preserve">. Det øvre </w:t>
      </w:r>
      <w:r w:rsidRPr="008D701C">
        <w:rPr>
          <w:b/>
        </w:rPr>
        <w:t>dekningspunktet ligg på 2800 einingar</w:t>
      </w:r>
      <w:r>
        <w:t xml:space="preserve">. Mellom desse to mengdene vil dei gå med overskot. </w:t>
      </w:r>
    </w:p>
    <w:p w:rsidR="009C3066" w:rsidRDefault="009C3066" w:rsidP="008D701C"/>
    <w:p w:rsidR="009C3066" w:rsidRDefault="009C3066" w:rsidP="008D701C">
      <w:r>
        <w:rPr>
          <w:noProof/>
          <w:lang w:val="nb-NO" w:eastAsia="nb-NO"/>
        </w:rPr>
        <w:pict>
          <v:shape id="_x0000_s1034" type="#_x0000_t32" style="position:absolute;margin-left:271.9pt;margin-top:292.7pt;width:.75pt;height:39.75pt;z-index:251666432" o:connectortype="straight">
            <v:stroke endarrow="block"/>
          </v:shape>
        </w:pict>
      </w:r>
      <w:r>
        <w:rPr>
          <w:noProof/>
          <w:lang w:val="nb-NO" w:eastAsia="nb-NO"/>
        </w:rPr>
        <w:pict>
          <v:shape id="_x0000_s1033" type="#_x0000_t32" style="position:absolute;margin-left:167.65pt;margin-top:292.7pt;width:0;height:47.25pt;z-index:251665408" o:connectortype="straight">
            <v:stroke endarrow="block"/>
          </v:shape>
        </w:pict>
      </w:r>
      <w:r>
        <w:rPr>
          <w:noProof/>
          <w:lang w:val="nb-NO" w:eastAsia="nb-NO"/>
        </w:rPr>
        <w:pict>
          <v:shape id="_x0000_s1032" type="#_x0000_t32" style="position:absolute;margin-left:226.9pt;margin-top:278.45pt;width:0;height:33pt;z-index:251664384" o:connectortype="straight">
            <v:stroke endarrow="block"/>
          </v:shape>
        </w:pict>
      </w:r>
      <w:r w:rsidRPr="009C3066">
        <w:drawing>
          <wp:inline distT="0" distB="0" distL="0" distR="0">
            <wp:extent cx="4310380" cy="5514975"/>
            <wp:effectExtent l="19050" t="0" r="13970" b="9525"/>
            <wp:docPr id="3" name="Diagram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C3066" w:rsidRDefault="009C3066" w:rsidP="008D701C"/>
    <w:p w:rsidR="00CB5E09" w:rsidRDefault="009C3066" w:rsidP="008D701C">
      <w:r>
        <w:t xml:space="preserve">Som ein ser av totaldiagrammet over og tabellen under så stemmer tala eg har kome fram til ganske så bra. Overskotet ser ut til å vere størst rundt 2233 einingar. Og dekningspunkta ser ut til å ligge på 1500 og 2800 einingar. </w:t>
      </w:r>
    </w:p>
    <w:p w:rsidR="00CB5E09" w:rsidRDefault="00CB5E09" w:rsidP="008D701C"/>
    <w:p w:rsidR="00CB5E09" w:rsidRDefault="00CB5E09" w:rsidP="008D701C">
      <w:r>
        <w:rPr>
          <w:noProof/>
          <w:lang w:val="nb-NO" w:eastAsia="nb-NO"/>
        </w:rPr>
        <w:drawing>
          <wp:inline distT="0" distB="0" distL="0" distR="0">
            <wp:extent cx="5753100" cy="2266950"/>
            <wp:effectExtent l="19050" t="0" r="0" b="0"/>
            <wp:docPr id="2"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5753100" cy="2266950"/>
                    </a:xfrm>
                    <a:prstGeom prst="rect">
                      <a:avLst/>
                    </a:prstGeom>
                    <a:noFill/>
                    <a:ln w="9525">
                      <a:noFill/>
                      <a:miter lim="800000"/>
                      <a:headEnd/>
                      <a:tailEnd/>
                    </a:ln>
                  </pic:spPr>
                </pic:pic>
              </a:graphicData>
            </a:graphic>
          </wp:inline>
        </w:drawing>
      </w:r>
    </w:p>
    <w:p w:rsidR="008D701C" w:rsidRDefault="008D701C" w:rsidP="008D701C"/>
    <w:p w:rsidR="008D701C" w:rsidRDefault="008D701C" w:rsidP="000358BC"/>
    <w:p w:rsidR="00ED1907" w:rsidRDefault="005B6DBB" w:rsidP="000358BC">
      <w:r>
        <w:t xml:space="preserve"> - På kort sikt bør bedrifta dekke alle dei variable kostnadane dei har med produktet. På lang sikt må dei dekkje alle kostnadane dei har med produktet, både variable  og faste. I tillegg til at prisen bør gjere at dei oppnår ei viss forteneste (eventuelt fortenestemål).</w:t>
      </w:r>
      <w:r w:rsidR="00ED1907">
        <w:t xml:space="preserve"> </w:t>
      </w:r>
    </w:p>
    <w:p w:rsidR="00ED1907" w:rsidRDefault="00ED1907" w:rsidP="000358BC"/>
    <w:p w:rsidR="005B6DBB" w:rsidRDefault="005B6DBB" w:rsidP="000358BC">
      <w:r w:rsidRPr="00ED652F">
        <w:rPr>
          <w:b/>
        </w:rPr>
        <w:t xml:space="preserve">Ut i frå diagrammet så er </w:t>
      </w:r>
      <w:r w:rsidR="00947949">
        <w:rPr>
          <w:b/>
        </w:rPr>
        <w:t xml:space="preserve">den absolutt lågaste </w:t>
      </w:r>
      <w:r w:rsidRPr="00ED652F">
        <w:rPr>
          <w:b/>
        </w:rPr>
        <w:t>prisen dei kan ta på kort sikt</w:t>
      </w:r>
      <w:r w:rsidR="00947949">
        <w:rPr>
          <w:b/>
        </w:rPr>
        <w:t>,</w:t>
      </w:r>
      <w:r w:rsidRPr="00ED652F">
        <w:rPr>
          <w:b/>
        </w:rPr>
        <w:t xml:space="preserve"> ved ei mengd på 2233 einingar</w:t>
      </w:r>
      <w:r w:rsidR="00947949">
        <w:rPr>
          <w:b/>
        </w:rPr>
        <w:t>,</w:t>
      </w:r>
      <w:r w:rsidRPr="00ED652F">
        <w:rPr>
          <w:b/>
        </w:rPr>
        <w:t xml:space="preserve"> ca. </w:t>
      </w:r>
      <w:r w:rsidR="00947949">
        <w:rPr>
          <w:b/>
        </w:rPr>
        <w:t>1850</w:t>
      </w:r>
      <w:r w:rsidR="00947949">
        <w:rPr>
          <w:rStyle w:val="Fotnotereferanse"/>
          <w:b/>
        </w:rPr>
        <w:footnoteReference w:id="2"/>
      </w:r>
      <w:r w:rsidR="00947949">
        <w:rPr>
          <w:b/>
        </w:rPr>
        <w:t xml:space="preserve">kr </w:t>
      </w:r>
      <w:r w:rsidR="00947949">
        <w:t>(VEK ved 2233 er på ca. 1850).</w:t>
      </w:r>
      <w:r>
        <w:t xml:space="preserve"> Denne vil i det minste dekkje alle dei variable kostnadane dei har med produktet</w:t>
      </w:r>
      <w:r w:rsidR="0034423C">
        <w:t>. Fil</w:t>
      </w:r>
      <w:r>
        <w:t xml:space="preserve">osofien rundt dette er at det er betre å oppnå noko enn ingenting. Det er betre å halde i gang produksjonen og å levere produkt enn å leggje ned. Det kan vere fleire grunnar til dette. Blant anna at ein på denne måten ikkje misser marknadsposisjonar, </w:t>
      </w:r>
      <w:r w:rsidR="004F590F">
        <w:t xml:space="preserve">ein opprettheld kontakten med kundane og ein misser ikkje verdifull arbeidskraft (kan hende fleire finn seg nye jobbar dersom dei vert permittert). Og denne arbeidskrafta opprettheld kompetansen sin. </w:t>
      </w:r>
    </w:p>
    <w:p w:rsidR="00947949" w:rsidRDefault="00947949" w:rsidP="000358BC"/>
    <w:p w:rsidR="00947949" w:rsidRDefault="00947949" w:rsidP="00947949">
      <w:r w:rsidRPr="00947949">
        <w:rPr>
          <w:i/>
        </w:rPr>
        <w:t>På kort sikt kan det kanskje også vere eit alternativ å redusere mengda</w:t>
      </w:r>
      <w:r>
        <w:t xml:space="preserve"> produserte jakker (dersom etterspørselen er veldig låg).</w:t>
      </w:r>
    </w:p>
    <w:p w:rsidR="00947949" w:rsidRDefault="00947949" w:rsidP="00947949"/>
    <w:p w:rsidR="00947949" w:rsidRDefault="00947949" w:rsidP="00947949">
      <w:r>
        <w:t xml:space="preserve">Det ideelle her vil då vere å produsere det talet på jakker som gjer at dei variable kostnadane er lågast mogleg. Denne mengda finn ein der DEK skjer VEK. Denne ser ut til å ligge rundt 2000 einingar. VEK her ligg på ca. 1800. </w:t>
      </w:r>
      <w:r w:rsidRPr="00ED1907">
        <w:rPr>
          <w:b/>
        </w:rPr>
        <w:t xml:space="preserve">Prisen dei kan ta på kort sikt ved ei seld mengd på 2000 einingar er ca. </w:t>
      </w:r>
      <w:r>
        <w:rPr>
          <w:b/>
        </w:rPr>
        <w:t>1</w:t>
      </w:r>
      <w:r w:rsidRPr="00ED1907">
        <w:rPr>
          <w:b/>
        </w:rPr>
        <w:t>800.</w:t>
      </w:r>
      <w:r>
        <w:t xml:space="preserve"> </w:t>
      </w:r>
    </w:p>
    <w:p w:rsidR="00F509D4" w:rsidRDefault="00F509D4" w:rsidP="00947949"/>
    <w:p w:rsidR="00F509D4" w:rsidRPr="00F509D4" w:rsidRDefault="00F509D4" w:rsidP="00947949">
      <w:pPr>
        <w:rPr>
          <w:b/>
          <w:i/>
        </w:rPr>
      </w:pPr>
      <w:r w:rsidRPr="00F509D4">
        <w:rPr>
          <w:b/>
          <w:i/>
        </w:rPr>
        <w:t xml:space="preserve">Med dersom dei skal oppretthalde selt mengd er den lågaste prisen dei kan ta </w:t>
      </w:r>
      <w:r>
        <w:rPr>
          <w:b/>
          <w:i/>
        </w:rPr>
        <w:t xml:space="preserve">på kort sikt </w:t>
      </w:r>
      <w:r w:rsidRPr="00F509D4">
        <w:rPr>
          <w:b/>
          <w:i/>
        </w:rPr>
        <w:t xml:space="preserve">ca. 1850kr (sjå lenger oppe). </w:t>
      </w:r>
    </w:p>
    <w:p w:rsidR="00947949" w:rsidRDefault="00947949" w:rsidP="000358BC">
      <w:pPr>
        <w:rPr>
          <w:b/>
          <w:i/>
        </w:rPr>
      </w:pPr>
    </w:p>
    <w:p w:rsidR="006A0914" w:rsidRDefault="00C0592A" w:rsidP="000358BC">
      <w:r>
        <w:t xml:space="preserve">På lang sikt må dei også ta </w:t>
      </w:r>
      <w:r w:rsidR="00ED652F">
        <w:t xml:space="preserve">ein pris som dekkjer alle kostnadane dei har til produktet. I tillegg til at prisen bør gjere at dei går med ei viss forteneste. Eg har ikkje fått oppgitt noko fortenestemål for Oleana AS. Men går ut i frå at den bør vere tilstades. </w:t>
      </w:r>
      <w:r w:rsidR="00ED652F" w:rsidRPr="00ED652F">
        <w:rPr>
          <w:b/>
        </w:rPr>
        <w:t>Derfor bør dei på lang sikt i alle fall ta ein pris som ligg over 2200</w:t>
      </w:r>
      <w:r w:rsidR="00ED652F">
        <w:rPr>
          <w:b/>
        </w:rPr>
        <w:t xml:space="preserve"> kr</w:t>
      </w:r>
      <w:r w:rsidR="00ED652F">
        <w:t xml:space="preserve"> (som er ein pris som dekkjer alle kostnadane, SEK ved 2233</w:t>
      </w:r>
      <w:r>
        <w:rPr>
          <w:rStyle w:val="Fotnotereferanse"/>
        </w:rPr>
        <w:footnoteReference w:id="3"/>
      </w:r>
      <w:r w:rsidR="00ED652F">
        <w:t xml:space="preserve"> einingar er 2200). </w:t>
      </w:r>
    </w:p>
    <w:p w:rsidR="00ED652F" w:rsidRDefault="00ED652F" w:rsidP="000358BC">
      <w:r>
        <w:lastRenderedPageBreak/>
        <w:t xml:space="preserve">I diagrammet under har eg merka av korleis eg har lese av </w:t>
      </w:r>
      <w:r w:rsidR="00A865C9">
        <w:t xml:space="preserve">dei ulike </w:t>
      </w:r>
      <w:r>
        <w:t>prisane</w:t>
      </w:r>
      <w:r w:rsidR="00A865C9">
        <w:t xml:space="preserve"> dei bør ta:</w:t>
      </w:r>
      <w:r>
        <w:t xml:space="preserve"> </w:t>
      </w:r>
    </w:p>
    <w:p w:rsidR="00ED652F" w:rsidRDefault="00ED652F" w:rsidP="000358BC"/>
    <w:p w:rsidR="00ED652F" w:rsidRDefault="00ED652F" w:rsidP="000358BC">
      <w:r>
        <w:t xml:space="preserve"> </w:t>
      </w:r>
    </w:p>
    <w:p w:rsidR="005B6DBB" w:rsidRDefault="00273D10" w:rsidP="000358BC">
      <w:r>
        <w:rPr>
          <w:noProof/>
          <w:lang w:val="nb-NO" w:eastAsia="nb-NO"/>
        </w:rPr>
        <w:pict>
          <v:shape id="_x0000_s1036" type="#_x0000_t32" style="position:absolute;margin-left:25.9pt;margin-top:328.15pt;width:211.5pt;height:0;flip:x;z-index:251668480" o:connectortype="straight"/>
        </w:pict>
      </w:r>
      <w:r>
        <w:rPr>
          <w:noProof/>
          <w:lang w:val="nb-NO" w:eastAsia="nb-NO"/>
        </w:rPr>
        <w:pict>
          <v:shape id="_x0000_s1035" type="#_x0000_t32" style="position:absolute;margin-left:237.4pt;margin-top:328.15pt;width:.75pt;height:75pt;z-index:251667456" o:connectortype="straight"/>
        </w:pict>
      </w:r>
      <w:r w:rsidR="00ED652F" w:rsidRPr="00ED652F">
        <w:drawing>
          <wp:inline distT="0" distB="0" distL="0" distR="0">
            <wp:extent cx="5343525" cy="5495925"/>
            <wp:effectExtent l="19050" t="0" r="9525" b="9525"/>
            <wp:docPr id="4" name="Diagram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5B6DBB" w:rsidRPr="005D0B62" w:rsidRDefault="005B6DBB" w:rsidP="000358BC"/>
    <w:p w:rsidR="00A62A90" w:rsidRDefault="00A62A90">
      <w:pPr>
        <w:rPr>
          <w:sz w:val="24"/>
        </w:rPr>
      </w:pPr>
    </w:p>
    <w:p w:rsidR="00E273DD" w:rsidRDefault="009E25C8">
      <w:pPr>
        <w:rPr>
          <w:sz w:val="24"/>
        </w:rPr>
      </w:pPr>
      <w:r>
        <w:rPr>
          <w:sz w:val="24"/>
        </w:rPr>
        <w:t xml:space="preserve"> - </w:t>
      </w:r>
      <w:r w:rsidR="009514A4">
        <w:rPr>
          <w:sz w:val="24"/>
        </w:rPr>
        <w:t xml:space="preserve">Verknadar av ei endring i rentenivået </w:t>
      </w:r>
      <w:r w:rsidR="00A865C9">
        <w:rPr>
          <w:sz w:val="24"/>
        </w:rPr>
        <w:t>(som er sannsynleg i dagens ustabile finanssituasjon)</w:t>
      </w:r>
      <w:r w:rsidR="009514A4">
        <w:rPr>
          <w:sz w:val="24"/>
        </w:rPr>
        <w:t>,</w:t>
      </w:r>
      <w:r>
        <w:rPr>
          <w:sz w:val="24"/>
        </w:rPr>
        <w:t xml:space="preserve"> </w:t>
      </w:r>
      <w:r w:rsidR="009514A4">
        <w:rPr>
          <w:sz w:val="24"/>
        </w:rPr>
        <w:t xml:space="preserve">i forhold til marknadstilpassing: </w:t>
      </w:r>
    </w:p>
    <w:p w:rsidR="009514A4" w:rsidRDefault="009514A4">
      <w:pPr>
        <w:rPr>
          <w:sz w:val="24"/>
        </w:rPr>
      </w:pPr>
    </w:p>
    <w:p w:rsidR="00E273DD" w:rsidRDefault="009514A4">
      <w:pPr>
        <w:rPr>
          <w:sz w:val="24"/>
        </w:rPr>
      </w:pPr>
      <w:r>
        <w:rPr>
          <w:sz w:val="24"/>
        </w:rPr>
        <w:t xml:space="preserve">For det første. </w:t>
      </w:r>
      <w:r w:rsidR="00E273DD">
        <w:rPr>
          <w:sz w:val="24"/>
        </w:rPr>
        <w:t xml:space="preserve">Renta vil kunne endre dei faste kostnadane. Sidan avdrag og renter på langsiktig kapital som lån, nok ligg under faste kostnadar. Dette er avdrag </w:t>
      </w:r>
      <w:r>
        <w:rPr>
          <w:sz w:val="24"/>
        </w:rPr>
        <w:t xml:space="preserve">og renter </w:t>
      </w:r>
      <w:r w:rsidR="00E273DD">
        <w:rPr>
          <w:sz w:val="24"/>
        </w:rPr>
        <w:t xml:space="preserve">dei må betale uansett. Uavhengig av produksjon. </w:t>
      </w:r>
    </w:p>
    <w:p w:rsidR="00E273DD" w:rsidRDefault="00E273DD">
      <w:pPr>
        <w:rPr>
          <w:sz w:val="24"/>
        </w:rPr>
      </w:pPr>
    </w:p>
    <w:p w:rsidR="009514A4" w:rsidRDefault="00E273DD">
      <w:pPr>
        <w:rPr>
          <w:sz w:val="24"/>
        </w:rPr>
      </w:pPr>
      <w:r>
        <w:rPr>
          <w:sz w:val="24"/>
        </w:rPr>
        <w:t>Går renta opp vil dei faste kostnad</w:t>
      </w:r>
      <w:r w:rsidR="003D1B15">
        <w:rPr>
          <w:sz w:val="24"/>
        </w:rPr>
        <w:t xml:space="preserve">ane gjere det same, og omvendt. </w:t>
      </w:r>
      <w:r w:rsidR="009514A4">
        <w:rPr>
          <w:sz w:val="24"/>
        </w:rPr>
        <w:t xml:space="preserve">Med ei høgre rente vil dette </w:t>
      </w:r>
      <w:r w:rsidR="003D1B15">
        <w:rPr>
          <w:sz w:val="24"/>
        </w:rPr>
        <w:t xml:space="preserve">føre til eit skifte mot høgre for SEK. </w:t>
      </w:r>
      <w:r w:rsidR="009514A4">
        <w:rPr>
          <w:sz w:val="24"/>
        </w:rPr>
        <w:t xml:space="preserve">SEK vil verte høgare og overskotet mindre. </w:t>
      </w:r>
      <w:r w:rsidR="00B82118">
        <w:rPr>
          <w:sz w:val="24"/>
        </w:rPr>
        <w:t xml:space="preserve">Går dei faste kostnadane opp med 50 000 vil overskotet gå ned med 50 000. </w:t>
      </w:r>
      <w:r w:rsidR="003D1B15">
        <w:rPr>
          <w:sz w:val="24"/>
        </w:rPr>
        <w:t>DEK vil i</w:t>
      </w:r>
      <w:r w:rsidR="009514A4">
        <w:rPr>
          <w:sz w:val="24"/>
        </w:rPr>
        <w:t xml:space="preserve">kkje endre seg på grunn av endring i dei faste kostnadane. Fordi ei endring i dei faste kostnadane ikkje gjer </w:t>
      </w:r>
      <w:r w:rsidR="009514A4">
        <w:rPr>
          <w:sz w:val="24"/>
        </w:rPr>
        <w:lastRenderedPageBreak/>
        <w:t xml:space="preserve">at kostnadane for å produsere ei ny eining endrar seg. </w:t>
      </w:r>
      <w:r w:rsidR="000D05CF">
        <w:rPr>
          <w:sz w:val="24"/>
        </w:rPr>
        <w:t xml:space="preserve">Dei faste kostnadane er i si heilheit driftsuavhengige. </w:t>
      </w:r>
    </w:p>
    <w:p w:rsidR="009514A4" w:rsidRDefault="009514A4">
      <w:pPr>
        <w:rPr>
          <w:sz w:val="24"/>
        </w:rPr>
      </w:pPr>
    </w:p>
    <w:p w:rsidR="00E273DD" w:rsidRDefault="009514A4">
      <w:pPr>
        <w:rPr>
          <w:sz w:val="24"/>
        </w:rPr>
      </w:pPr>
      <w:r>
        <w:rPr>
          <w:sz w:val="24"/>
        </w:rPr>
        <w:t xml:space="preserve">Men ei endring i renta vil ikkje nødvendigvis gjer at dei variable kostnadane held seg på det same nivået. Fordi dersom renta går opp så vil kostnadsnivået på råvarer dei kjøper (kjøper mykje råvarer og ull i frå Noreg) kunne gå opp. Fordi leverandørane må dekke dei auka totale kostnadane sine. </w:t>
      </w:r>
    </w:p>
    <w:p w:rsidR="000D05CF" w:rsidRDefault="000D05CF">
      <w:pPr>
        <w:rPr>
          <w:sz w:val="24"/>
        </w:rPr>
      </w:pPr>
    </w:p>
    <w:p w:rsidR="000D05CF" w:rsidRDefault="000D05CF">
      <w:pPr>
        <w:rPr>
          <w:sz w:val="24"/>
        </w:rPr>
      </w:pPr>
      <w:r>
        <w:rPr>
          <w:sz w:val="24"/>
        </w:rPr>
        <w:t xml:space="preserve">Dette vil gjere at VEK går opp som igjen gjer at DEK går opp, og dermed at den optimale tilpassinga vert ved ei lågare mengd. </w:t>
      </w:r>
    </w:p>
    <w:p w:rsidR="000D05CF" w:rsidRDefault="000D05CF">
      <w:pPr>
        <w:rPr>
          <w:sz w:val="24"/>
        </w:rPr>
      </w:pPr>
    </w:p>
    <w:p w:rsidR="000D05CF" w:rsidRDefault="000D05CF">
      <w:pPr>
        <w:rPr>
          <w:sz w:val="24"/>
        </w:rPr>
      </w:pPr>
      <w:r>
        <w:rPr>
          <w:sz w:val="24"/>
        </w:rPr>
        <w:t>I diagrammet under har eg auka VEK med akkurat 100 kr for alle einingar:</w:t>
      </w:r>
    </w:p>
    <w:p w:rsidR="000D05CF" w:rsidRDefault="003A4B19">
      <w:pPr>
        <w:rPr>
          <w:sz w:val="24"/>
        </w:rPr>
      </w:pPr>
      <w:r>
        <w:rPr>
          <w:noProof/>
          <w:sz w:val="24"/>
          <w:lang w:val="nb-NO" w:eastAsia="nb-NO"/>
        </w:rPr>
        <w:pict>
          <v:shape id="_x0000_s1040" type="#_x0000_t32" style="position:absolute;margin-left:20.65pt;margin-top:250.6pt;width:179.25pt;height:.75pt;flip:x y;z-index:251670528" o:connectortype="straight"/>
        </w:pict>
      </w:r>
      <w:r>
        <w:rPr>
          <w:noProof/>
          <w:sz w:val="24"/>
          <w:lang w:val="nb-NO" w:eastAsia="nb-NO"/>
        </w:rPr>
        <w:pict>
          <v:shape id="_x0000_s1039" type="#_x0000_t32" style="position:absolute;margin-left:199.9pt;margin-top:245.35pt;width:.75pt;height:85.5pt;flip:x;z-index:251669504" o:connectortype="straight"/>
        </w:pict>
      </w:r>
      <w:r w:rsidR="000D05CF" w:rsidRPr="000D05CF">
        <w:rPr>
          <w:sz w:val="24"/>
        </w:rPr>
        <w:drawing>
          <wp:inline distT="0" distB="0" distL="0" distR="0">
            <wp:extent cx="4038600" cy="4438650"/>
            <wp:effectExtent l="19050" t="0" r="19050" b="19050"/>
            <wp:docPr id="12" name="Diagram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000D05CF">
        <w:rPr>
          <w:sz w:val="24"/>
        </w:rPr>
        <w:t xml:space="preserve"> </w:t>
      </w:r>
    </w:p>
    <w:p w:rsidR="004F6BCB" w:rsidRDefault="004F6BCB">
      <w:pPr>
        <w:rPr>
          <w:sz w:val="24"/>
        </w:rPr>
      </w:pPr>
    </w:p>
    <w:p w:rsidR="004F6BCB" w:rsidRDefault="000D05CF">
      <w:pPr>
        <w:rPr>
          <w:sz w:val="24"/>
        </w:rPr>
      </w:pPr>
      <w:r>
        <w:rPr>
          <w:sz w:val="24"/>
        </w:rPr>
        <w:t xml:space="preserve">Her ligg optimal marknadstilpassing på akkurat 2200 einingar. Ikkje 2233. Noko som </w:t>
      </w:r>
      <w:r w:rsidR="004F6BCB">
        <w:rPr>
          <w:sz w:val="24"/>
        </w:rPr>
        <w:t>også vil gjere at det totale overskotet vert lågare.  (2500-2300)*2200= 440 000).</w:t>
      </w:r>
    </w:p>
    <w:p w:rsidR="004F6BCB" w:rsidRDefault="004F6BCB">
      <w:pPr>
        <w:rPr>
          <w:sz w:val="24"/>
        </w:rPr>
      </w:pPr>
    </w:p>
    <w:p w:rsidR="000A3AA9" w:rsidRDefault="000D05CF">
      <w:pPr>
        <w:rPr>
          <w:sz w:val="24"/>
        </w:rPr>
      </w:pPr>
      <w:r>
        <w:rPr>
          <w:sz w:val="24"/>
        </w:rPr>
        <w:t xml:space="preserve"> </w:t>
      </w:r>
      <w:r w:rsidR="00BA3E8D">
        <w:rPr>
          <w:sz w:val="24"/>
        </w:rPr>
        <w:t xml:space="preserve">Det omvendte vil nok skje med ei lågare rente. Då kan VEK gå ned og mengda i marknadstilpassinga verte høgare, overskotet høgare. </w:t>
      </w:r>
    </w:p>
    <w:p w:rsidR="00BA3E8D" w:rsidRDefault="00BA3E8D">
      <w:pPr>
        <w:rPr>
          <w:sz w:val="24"/>
        </w:rPr>
      </w:pPr>
    </w:p>
    <w:p w:rsidR="00035976" w:rsidRDefault="00BA3E8D">
      <w:pPr>
        <w:rPr>
          <w:sz w:val="24"/>
        </w:rPr>
      </w:pPr>
      <w:r>
        <w:rPr>
          <w:sz w:val="24"/>
        </w:rPr>
        <w:t>Eit anna forhold er korleis renta påverkar etterspurnaden etter jakker. Ei låg rente vil kunne føre til betre kjøpekraft og kanskje høgare etterspurnad etter produktet som igjen gjer at marknadsprisen kan gå opp (men med ein fast pris er ikkje dette nødvendigvis så lett). Går marknadsprisen opp aukar også overskotet</w:t>
      </w:r>
      <w:r w:rsidR="003A4B19">
        <w:rPr>
          <w:sz w:val="24"/>
        </w:rPr>
        <w:t>.</w:t>
      </w:r>
    </w:p>
    <w:p w:rsidR="00A62A90" w:rsidRPr="00035976" w:rsidRDefault="00A62A90">
      <w:pPr>
        <w:rPr>
          <w:sz w:val="24"/>
        </w:rPr>
      </w:pPr>
      <w:r w:rsidRPr="00A62A90">
        <w:rPr>
          <w:b/>
          <w:sz w:val="32"/>
        </w:rPr>
        <w:lastRenderedPageBreak/>
        <w:t>Investering i strikkemaskin</w:t>
      </w:r>
    </w:p>
    <w:p w:rsidR="00A62A90" w:rsidRDefault="00A62A90">
      <w:pPr>
        <w:rPr>
          <w:b/>
          <w:sz w:val="32"/>
        </w:rPr>
      </w:pPr>
    </w:p>
    <w:p w:rsidR="00B82118" w:rsidRDefault="00B82118">
      <w:r>
        <w:t xml:space="preserve">I </w:t>
      </w:r>
      <w:r w:rsidR="00CD0813">
        <w:t>kalkulasjonsrenta må eg ta omsyn</w:t>
      </w:r>
      <w:r>
        <w:t xml:space="preserve"> ti</w:t>
      </w:r>
      <w:r w:rsidR="00CD0813">
        <w:t>l både alternativ avkastning (mest truleg i banken, denne er sikrast</w:t>
      </w:r>
      <w:r>
        <w:t xml:space="preserve"> avkastning</w:t>
      </w:r>
      <w:r w:rsidR="00CD0813">
        <w:t>/alternativ avkastning</w:t>
      </w:r>
      <w:r>
        <w:t xml:space="preserve">) og eit tillegg for risiko for investorane. Den gjennomsnittlege bankrenta i Noreg ligg rundt 4-6%. I dagens marknad ligg den under dette (styringsrenta 1,5%, men bankane har kanskje 2-2,5% rente). Likevel tek eg høgde for at ein kunne fått ei rente på i snitt 4% i banken dei neste 5 åra (levetid på 5 år). Risikoen i dette prosjektet ser eg ikkje på som veldig høg, ei solid bedrift. Men det er uansett ikkje risikofritt i klesmarknaden, derfor set eg risikotillegget til 4%. </w:t>
      </w:r>
      <w:r w:rsidRPr="00B82118">
        <w:rPr>
          <w:b/>
        </w:rPr>
        <w:t>Då får eg ei kalkulasjonsrente på 8%.</w:t>
      </w:r>
      <w:r>
        <w:t xml:space="preserve"> </w:t>
      </w:r>
    </w:p>
    <w:p w:rsidR="004F4492" w:rsidRDefault="004F4492"/>
    <w:p w:rsidR="009514A4" w:rsidRDefault="004F4492">
      <w:r>
        <w:t>Det er ikkje opplyst om variable kostnadar eller pris som følgje av denne jakka. ”Pårekna netto innsparing per jakke (registrert som pris)”</w:t>
      </w:r>
      <w:r w:rsidR="007E5ACE">
        <w:t xml:space="preserve">. Dette </w:t>
      </w:r>
      <w:r>
        <w:t xml:space="preserve">forstår eg som at dei tener denne summen per jakke, når dei brukar den nye maskina i forhold til den gamle. </w:t>
      </w:r>
      <w:r w:rsidR="007E5ACE">
        <w:t xml:space="preserve">Derfor set eg denne summen på pris og ingenting på variable kostnadar. Eg får då summen eg sette som pris som dekningsbidrag. </w:t>
      </w:r>
    </w:p>
    <w:p w:rsidR="00F7527A" w:rsidRDefault="00F7527A"/>
    <w:p w:rsidR="007E5ACE" w:rsidRDefault="007E5ACE">
      <w:r>
        <w:t xml:space="preserve">Med desse føresetnadane får eg </w:t>
      </w:r>
      <w:r w:rsidRPr="00AA70AC">
        <w:rPr>
          <w:b/>
        </w:rPr>
        <w:t xml:space="preserve">desse </w:t>
      </w:r>
      <w:r w:rsidR="00AA70AC" w:rsidRPr="00AA70AC">
        <w:rPr>
          <w:b/>
        </w:rPr>
        <w:t>investeringsanalysane for maskinene</w:t>
      </w:r>
      <w:r>
        <w:t>:</w:t>
      </w:r>
    </w:p>
    <w:p w:rsidR="007E5ACE" w:rsidRDefault="007E5ACE"/>
    <w:p w:rsidR="007E5ACE" w:rsidRDefault="007E5ACE"/>
    <w:p w:rsidR="007E5ACE" w:rsidRPr="002428A1" w:rsidRDefault="007E5ACE">
      <w:pPr>
        <w:rPr>
          <w:b/>
          <w:sz w:val="28"/>
        </w:rPr>
      </w:pPr>
      <w:r w:rsidRPr="002428A1">
        <w:rPr>
          <w:b/>
          <w:sz w:val="28"/>
        </w:rPr>
        <w:t>Knit 2000</w:t>
      </w:r>
    </w:p>
    <w:p w:rsidR="007E5ACE" w:rsidRDefault="007E5ACE">
      <w:r>
        <w:rPr>
          <w:noProof/>
          <w:lang w:val="nb-NO" w:eastAsia="nb-NO"/>
        </w:rPr>
        <w:drawing>
          <wp:inline distT="0" distB="0" distL="0" distR="0">
            <wp:extent cx="5753100" cy="2638425"/>
            <wp:effectExtent l="19050" t="0" r="0" b="0"/>
            <wp:docPr id="5" name="Bil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srcRect/>
                    <a:stretch>
                      <a:fillRect/>
                    </a:stretch>
                  </pic:blipFill>
                  <pic:spPr bwMode="auto">
                    <a:xfrm>
                      <a:off x="0" y="0"/>
                      <a:ext cx="5753100" cy="2638425"/>
                    </a:xfrm>
                    <a:prstGeom prst="rect">
                      <a:avLst/>
                    </a:prstGeom>
                    <a:noFill/>
                    <a:ln w="9525">
                      <a:noFill/>
                      <a:miter lim="800000"/>
                      <a:headEnd/>
                      <a:tailEnd/>
                    </a:ln>
                  </pic:spPr>
                </pic:pic>
              </a:graphicData>
            </a:graphic>
          </wp:inline>
        </w:drawing>
      </w:r>
    </w:p>
    <w:p w:rsidR="007E5ACE" w:rsidRDefault="007E5ACE"/>
    <w:p w:rsidR="007E5ACE" w:rsidRDefault="007E5ACE"/>
    <w:p w:rsidR="00274887" w:rsidRDefault="00274887"/>
    <w:p w:rsidR="00274887" w:rsidRDefault="00274887"/>
    <w:p w:rsidR="00274887" w:rsidRDefault="00274887"/>
    <w:p w:rsidR="00F7527A" w:rsidRDefault="00F7527A">
      <w:pPr>
        <w:rPr>
          <w:b/>
          <w:sz w:val="28"/>
        </w:rPr>
      </w:pPr>
    </w:p>
    <w:p w:rsidR="00A03A8D" w:rsidRDefault="00A03A8D">
      <w:pPr>
        <w:rPr>
          <w:b/>
          <w:sz w:val="28"/>
        </w:rPr>
      </w:pPr>
    </w:p>
    <w:p w:rsidR="00A03A8D" w:rsidRDefault="00A03A8D">
      <w:pPr>
        <w:rPr>
          <w:b/>
          <w:sz w:val="28"/>
        </w:rPr>
      </w:pPr>
    </w:p>
    <w:p w:rsidR="00A03A8D" w:rsidRDefault="00A03A8D">
      <w:pPr>
        <w:rPr>
          <w:b/>
          <w:sz w:val="28"/>
        </w:rPr>
      </w:pPr>
    </w:p>
    <w:p w:rsidR="00A03A8D" w:rsidRDefault="00A03A8D">
      <w:pPr>
        <w:rPr>
          <w:b/>
          <w:sz w:val="28"/>
        </w:rPr>
      </w:pPr>
    </w:p>
    <w:p w:rsidR="00A03A8D" w:rsidRDefault="00A03A8D">
      <w:pPr>
        <w:rPr>
          <w:b/>
          <w:sz w:val="28"/>
        </w:rPr>
      </w:pPr>
    </w:p>
    <w:p w:rsidR="00A03A8D" w:rsidRDefault="00A03A8D">
      <w:pPr>
        <w:rPr>
          <w:b/>
          <w:sz w:val="28"/>
        </w:rPr>
      </w:pPr>
    </w:p>
    <w:p w:rsidR="00A03A8D" w:rsidRDefault="00A03A8D">
      <w:pPr>
        <w:rPr>
          <w:b/>
          <w:sz w:val="28"/>
        </w:rPr>
      </w:pPr>
    </w:p>
    <w:p w:rsidR="00A03A8D" w:rsidRDefault="00A03A8D">
      <w:pPr>
        <w:rPr>
          <w:b/>
          <w:sz w:val="28"/>
        </w:rPr>
      </w:pPr>
    </w:p>
    <w:p w:rsidR="007E5ACE" w:rsidRPr="002428A1" w:rsidRDefault="007E5ACE">
      <w:pPr>
        <w:rPr>
          <w:b/>
          <w:sz w:val="28"/>
        </w:rPr>
      </w:pPr>
      <w:r w:rsidRPr="002428A1">
        <w:rPr>
          <w:b/>
          <w:sz w:val="28"/>
        </w:rPr>
        <w:lastRenderedPageBreak/>
        <w:t>Strick-XL</w:t>
      </w:r>
    </w:p>
    <w:p w:rsidR="007E5ACE" w:rsidRDefault="00274887">
      <w:r>
        <w:rPr>
          <w:noProof/>
          <w:lang w:val="nb-NO" w:eastAsia="nb-NO"/>
        </w:rPr>
        <w:drawing>
          <wp:inline distT="0" distB="0" distL="0" distR="0">
            <wp:extent cx="5753100" cy="2667000"/>
            <wp:effectExtent l="19050" t="0" r="0" b="0"/>
            <wp:docPr id="6" name="Bild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srcRect/>
                    <a:stretch>
                      <a:fillRect/>
                    </a:stretch>
                  </pic:blipFill>
                  <pic:spPr bwMode="auto">
                    <a:xfrm>
                      <a:off x="0" y="0"/>
                      <a:ext cx="5753100" cy="2667000"/>
                    </a:xfrm>
                    <a:prstGeom prst="rect">
                      <a:avLst/>
                    </a:prstGeom>
                    <a:noFill/>
                    <a:ln w="9525">
                      <a:noFill/>
                      <a:miter lim="800000"/>
                      <a:headEnd/>
                      <a:tailEnd/>
                    </a:ln>
                  </pic:spPr>
                </pic:pic>
              </a:graphicData>
            </a:graphic>
          </wp:inline>
        </w:drawing>
      </w:r>
    </w:p>
    <w:p w:rsidR="007E5ACE" w:rsidRDefault="007E5ACE"/>
    <w:p w:rsidR="007E5ACE" w:rsidRDefault="00274887">
      <w:r>
        <w:t xml:space="preserve">Som ein ser så gir Knit2000 den største noverdien. Mens internrenta er størst for Strick-XL. </w:t>
      </w:r>
    </w:p>
    <w:p w:rsidR="00274887" w:rsidRDefault="004C2BB6">
      <w:r>
        <w:t xml:space="preserve">Det er likevel ikkje store forskjellar for dei ulike investeringane. For å kunne skikkeleg grunngi eit val vert eg derfor nøydd til å foreta ei følsemdsanalyse for begge alternativa. </w:t>
      </w:r>
    </w:p>
    <w:p w:rsidR="00F7527A" w:rsidRDefault="00F7527A"/>
    <w:p w:rsidR="004C2BB6" w:rsidRDefault="00494915">
      <w:r>
        <w:rPr>
          <w:noProof/>
          <w:lang w:val="nb-NO" w:eastAsia="nb-NO"/>
        </w:rPr>
        <w:drawing>
          <wp:inline distT="0" distB="0" distL="0" distR="0">
            <wp:extent cx="5524500" cy="1943100"/>
            <wp:effectExtent l="19050" t="0" r="0" b="0"/>
            <wp:docPr id="7" name="Bild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srcRect/>
                    <a:stretch>
                      <a:fillRect/>
                    </a:stretch>
                  </pic:blipFill>
                  <pic:spPr bwMode="auto">
                    <a:xfrm>
                      <a:off x="0" y="0"/>
                      <a:ext cx="5524500" cy="1943100"/>
                    </a:xfrm>
                    <a:prstGeom prst="rect">
                      <a:avLst/>
                    </a:prstGeom>
                    <a:noFill/>
                    <a:ln w="9525">
                      <a:noFill/>
                      <a:miter lim="800000"/>
                      <a:headEnd/>
                      <a:tailEnd/>
                    </a:ln>
                  </pic:spPr>
                </pic:pic>
              </a:graphicData>
            </a:graphic>
          </wp:inline>
        </w:drawing>
      </w:r>
    </w:p>
    <w:p w:rsidR="00494915" w:rsidRDefault="00494915"/>
    <w:p w:rsidR="00494915" w:rsidRDefault="00494915"/>
    <w:p w:rsidR="002428A1" w:rsidRDefault="002428A1">
      <w:r>
        <w:rPr>
          <w:noProof/>
          <w:lang w:val="nb-NO" w:eastAsia="nb-NO"/>
        </w:rPr>
        <w:drawing>
          <wp:inline distT="0" distB="0" distL="0" distR="0">
            <wp:extent cx="5524500" cy="1895475"/>
            <wp:effectExtent l="19050" t="0" r="0" b="0"/>
            <wp:docPr id="8" name="Bild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srcRect/>
                    <a:stretch>
                      <a:fillRect/>
                    </a:stretch>
                  </pic:blipFill>
                  <pic:spPr bwMode="auto">
                    <a:xfrm>
                      <a:off x="0" y="0"/>
                      <a:ext cx="5524500" cy="1895475"/>
                    </a:xfrm>
                    <a:prstGeom prst="rect">
                      <a:avLst/>
                    </a:prstGeom>
                    <a:noFill/>
                    <a:ln w="9525">
                      <a:noFill/>
                      <a:miter lim="800000"/>
                      <a:headEnd/>
                      <a:tailEnd/>
                    </a:ln>
                  </pic:spPr>
                </pic:pic>
              </a:graphicData>
            </a:graphic>
          </wp:inline>
        </w:drawing>
      </w:r>
    </w:p>
    <w:p w:rsidR="00274887" w:rsidRDefault="00274887"/>
    <w:p w:rsidR="00274887" w:rsidRPr="009514A4" w:rsidRDefault="00274887"/>
    <w:p w:rsidR="009514A4" w:rsidRDefault="00E7207E">
      <w:r>
        <w:t xml:space="preserve">Som ein ser av følsemdanalysa så er dei økonomiske konsekvensane av dei to alternativa ganske så like. Men Knit2000 har litt betre marginar når det gjeld det meste, med unntak av kalkulasjonsrenta. Men forskjellen mellom Knit2000 og Strick-XL er ikkje så stor her som i dei andre punkta. I tillegg gir </w:t>
      </w:r>
      <w:r>
        <w:lastRenderedPageBreak/>
        <w:t xml:space="preserve">investering i Knit2000 den høgaste noverdien. Ein noverdi på 254 258 mot ein noverdi på 215 838. Dette er ein margin på 38 420, over 5 år. </w:t>
      </w:r>
    </w:p>
    <w:p w:rsidR="00E7207E" w:rsidRDefault="00E7207E"/>
    <w:p w:rsidR="00E7207E" w:rsidRDefault="00AA70AC">
      <w:r>
        <w:t>Så det er ikkje den s</w:t>
      </w:r>
      <w:r w:rsidR="00E7207E">
        <w:t xml:space="preserve">tore forskjellen mellom dei to alternativa. </w:t>
      </w:r>
      <w:r w:rsidR="00E7207E" w:rsidRPr="00AA70AC">
        <w:rPr>
          <w:b/>
        </w:rPr>
        <w:t>Likevel så meiner eg at den maskina leiinga bør velje er Knit2000 som er marginalt betre på dei fleste områder og gir ein høgare noverdi.</w:t>
      </w:r>
      <w:r w:rsidR="00E7207E">
        <w:t xml:space="preserve"> </w:t>
      </w:r>
      <w:r>
        <w:t>Som sagt, d</w:t>
      </w:r>
      <w:r w:rsidR="00E7207E">
        <w:t xml:space="preserve">et einaste Strick-Xl har ein betre verdi på er kor mykje ein kan endre kalkulasjonsrenta. Denne kan endrast med 10,6% for Strick-XL mens ein for Knit2000 kan endre den med 10%. Denne marginen ser eg på som ganske liten og ikkje nok til at Strick-XL er best totalt sett. </w:t>
      </w:r>
    </w:p>
    <w:p w:rsidR="006312DC" w:rsidRDefault="006312DC"/>
    <w:p w:rsidR="00F7527A" w:rsidRPr="008922A4" w:rsidRDefault="00F7527A" w:rsidP="00F7527A">
      <w:pPr>
        <w:rPr>
          <w:i/>
        </w:rPr>
      </w:pPr>
      <w:r>
        <w:t xml:space="preserve">* I denne analysa har eg ikkje teke hensyn til ei auke i </w:t>
      </w:r>
      <w:r w:rsidRPr="004F7FED">
        <w:rPr>
          <w:i/>
        </w:rPr>
        <w:t>omløpsmiddel</w:t>
      </w:r>
      <w:r>
        <w:rPr>
          <w:i/>
        </w:rPr>
        <w:t xml:space="preserve"> (</w:t>
      </w:r>
      <w:r>
        <w:rPr>
          <w:i/>
          <w:sz w:val="24"/>
        </w:rPr>
        <w:t xml:space="preserve">t.d. auke i varelager og kundefordringar) </w:t>
      </w:r>
      <w:r>
        <w:t xml:space="preserve">. Eg ser det som lite truleg at denne vil auke noko særleg, sidan det verkar som at det er meir besparelsar (meir effektive maskiner, betre strikkemaskiner) dei satsar på enn å auke produksjonen. </w:t>
      </w:r>
      <w:r w:rsidRPr="008922A4">
        <w:rPr>
          <w:i/>
        </w:rPr>
        <w:t xml:space="preserve">Men dersom omløpsmiddela skulle ha auka litt så vil eg tru dei aukar ganske likt for begge alternativa. Det vil derfor ikkje endre konklusjonen min. Det same gjeld for andre kontantstrømmer. </w:t>
      </w:r>
    </w:p>
    <w:p w:rsidR="00F7527A" w:rsidRDefault="00F7527A"/>
    <w:p w:rsidR="009514A4" w:rsidRPr="00A62A90" w:rsidRDefault="009514A4">
      <w:pPr>
        <w:rPr>
          <w:b/>
          <w:sz w:val="32"/>
        </w:rPr>
      </w:pPr>
    </w:p>
    <w:p w:rsidR="00A62A90" w:rsidRPr="00A62A90" w:rsidRDefault="00A62A90">
      <w:pPr>
        <w:rPr>
          <w:b/>
          <w:sz w:val="32"/>
        </w:rPr>
      </w:pPr>
      <w:r w:rsidRPr="00A62A90">
        <w:rPr>
          <w:b/>
          <w:sz w:val="32"/>
        </w:rPr>
        <w:t>Kapitalbehov og finansiering av utviding</w:t>
      </w:r>
    </w:p>
    <w:p w:rsidR="00A62A90" w:rsidRDefault="00A62A90">
      <w:pPr>
        <w:rPr>
          <w:b/>
          <w:sz w:val="32"/>
        </w:rPr>
      </w:pPr>
    </w:p>
    <w:p w:rsidR="00CB2BCD" w:rsidRDefault="00CB2BCD">
      <w:r>
        <w:t xml:space="preserve">Investeringa vil utgjere 1 900 000. Set dette som anleggsmiddel. </w:t>
      </w:r>
    </w:p>
    <w:p w:rsidR="00CB2BCD" w:rsidRDefault="00CB2BCD"/>
    <w:p w:rsidR="00BF2366" w:rsidRDefault="00BF2366" w:rsidP="00BF2366">
      <w:r>
        <w:t xml:space="preserve">Dei bør nok kanskje auke likviditetsreserven litt, når dei gjer ei så stor investering. Behovet for å ha litt ekstra kapital vil nok auke. </w:t>
      </w:r>
    </w:p>
    <w:p w:rsidR="00BF2366" w:rsidRDefault="00BF2366" w:rsidP="00BF2366">
      <w:r>
        <w:t xml:space="preserve">Likviditetsreserven set eg derfor til  5% av den totale auken i salet, Noko som utgjer 170 000. </w:t>
      </w:r>
    </w:p>
    <w:p w:rsidR="00BF2366" w:rsidRPr="00BF2366" w:rsidRDefault="00BF2366" w:rsidP="00BF2366">
      <w:r>
        <w:t xml:space="preserve">Eg tek føresetnad om at posten </w:t>
      </w:r>
      <w:r>
        <w:rPr>
          <w:i/>
        </w:rPr>
        <w:t xml:space="preserve">andre omløpsmiddel </w:t>
      </w:r>
      <w:r>
        <w:t xml:space="preserve">ikkje vert så veldig påverka. Tek derfor ikkje med noko her. </w:t>
      </w:r>
    </w:p>
    <w:p w:rsidR="00BF2366" w:rsidRDefault="00BF2366"/>
    <w:p w:rsidR="00A440C5" w:rsidRDefault="00A440C5">
      <w:r>
        <w:t xml:space="preserve">Den årlege omsetninga (det årlege salet) vil stige med 3 400 000 utan mva. </w:t>
      </w:r>
    </w:p>
    <w:p w:rsidR="00A440C5" w:rsidRDefault="00A440C5">
      <w:r>
        <w:t xml:space="preserve">Bedrifta reknar med ei bruttoforteneste på 40%. </w:t>
      </w:r>
    </w:p>
    <w:p w:rsidR="00A440C5" w:rsidRDefault="00A440C5">
      <w:r>
        <w:t xml:space="preserve">Alt sal vil vere på kreditt per 20 dagar. </w:t>
      </w:r>
    </w:p>
    <w:p w:rsidR="00A440C5" w:rsidRDefault="00A440C5">
      <w:r>
        <w:t xml:space="preserve">Pårekna gjennomsnittleg lagringstid er 200 dagar. </w:t>
      </w:r>
    </w:p>
    <w:p w:rsidR="00A440C5" w:rsidRDefault="00A440C5"/>
    <w:p w:rsidR="00A52CC9" w:rsidRPr="00A52CC9" w:rsidRDefault="00BA0D60">
      <w:r>
        <w:t>Set andel av omløpsmiddel dekt av langsiktig kapital til 50% og eigenkapital til 40%. Dette etter reglar for god finansiering</w:t>
      </w:r>
      <w:r>
        <w:rPr>
          <w:rStyle w:val="Fotnotereferanse"/>
        </w:rPr>
        <w:footnoteReference w:id="4"/>
      </w:r>
      <w:r w:rsidR="00952A04">
        <w:t xml:space="preserve"> </w:t>
      </w:r>
    </w:p>
    <w:p w:rsidR="00167A14" w:rsidRDefault="00167A14"/>
    <w:p w:rsidR="000E388C" w:rsidRPr="00891769" w:rsidRDefault="00A440C5">
      <w:pPr>
        <w:rPr>
          <w:b/>
        </w:rPr>
      </w:pPr>
      <w:r>
        <w:rPr>
          <w:b/>
        </w:rPr>
        <w:t>Kostnaden ved leverandørgjeld</w:t>
      </w:r>
      <w:r w:rsidR="000E388C" w:rsidRPr="00891769">
        <w:rPr>
          <w:b/>
        </w:rPr>
        <w:t>:</w:t>
      </w:r>
    </w:p>
    <w:p w:rsidR="000E388C" w:rsidRDefault="000E388C">
      <w:r>
        <w:t>Per 30 dagar eller per 10 dagar -2% rabatt.</w:t>
      </w:r>
    </w:p>
    <w:p w:rsidR="000E388C" w:rsidRDefault="000E388C"/>
    <w:p w:rsidR="000E388C" w:rsidRDefault="000E388C">
      <w:r>
        <w:t xml:space="preserve">Kostnaden ved å velje leverandørkreditt vert her 2% for 20 dagar. </w:t>
      </w:r>
    </w:p>
    <w:p w:rsidR="009B2EB8" w:rsidRDefault="009B2EB8"/>
    <w:p w:rsidR="004C57FC" w:rsidRDefault="004C57FC">
      <w:r>
        <w:t xml:space="preserve">Den effektive renta per år vert då tilnærma </w:t>
      </w:r>
    </w:p>
    <w:p w:rsidR="004C57FC" w:rsidRDefault="004C57FC">
      <w:r>
        <w:t xml:space="preserve"> (2/20)*365= 36,5</w:t>
      </w:r>
    </w:p>
    <w:p w:rsidR="00891769" w:rsidRDefault="00891769"/>
    <w:p w:rsidR="00891769" w:rsidRDefault="00891769"/>
    <w:p w:rsidR="00891769" w:rsidRDefault="00891769"/>
    <w:p w:rsidR="00891769" w:rsidRDefault="00891769"/>
    <w:p w:rsidR="00891769" w:rsidRDefault="00891769"/>
    <w:p w:rsidR="00891769" w:rsidRDefault="00891769"/>
    <w:p w:rsidR="002770C8" w:rsidRDefault="002770C8">
      <w:pPr>
        <w:rPr>
          <w:b/>
          <w:i/>
        </w:rPr>
      </w:pPr>
    </w:p>
    <w:p w:rsidR="002770C8" w:rsidRDefault="002770C8">
      <w:pPr>
        <w:rPr>
          <w:b/>
          <w:i/>
        </w:rPr>
      </w:pPr>
    </w:p>
    <w:p w:rsidR="004C57FC" w:rsidRPr="002770C8" w:rsidRDefault="002770C8">
      <w:pPr>
        <w:rPr>
          <w:b/>
          <w:i/>
        </w:rPr>
      </w:pPr>
      <w:r w:rsidRPr="002770C8">
        <w:rPr>
          <w:b/>
          <w:i/>
        </w:rPr>
        <w:t>Kostnaden ved leverandørkreditt</w:t>
      </w:r>
    </w:p>
    <w:p w:rsidR="004C57FC" w:rsidRDefault="004C57FC">
      <w:r>
        <w:rPr>
          <w:noProof/>
          <w:lang w:val="nb-NO" w:eastAsia="nb-NO"/>
        </w:rPr>
        <w:drawing>
          <wp:inline distT="0" distB="0" distL="0" distR="0">
            <wp:extent cx="5124450" cy="695325"/>
            <wp:effectExtent l="19050" t="0" r="0" b="0"/>
            <wp:docPr id="9" name="Bild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srcRect/>
                    <a:stretch>
                      <a:fillRect/>
                    </a:stretch>
                  </pic:blipFill>
                  <pic:spPr bwMode="auto">
                    <a:xfrm>
                      <a:off x="0" y="0"/>
                      <a:ext cx="5124450" cy="695325"/>
                    </a:xfrm>
                    <a:prstGeom prst="rect">
                      <a:avLst/>
                    </a:prstGeom>
                    <a:noFill/>
                    <a:ln w="9525">
                      <a:noFill/>
                      <a:miter lim="800000"/>
                      <a:headEnd/>
                      <a:tailEnd/>
                    </a:ln>
                  </pic:spPr>
                </pic:pic>
              </a:graphicData>
            </a:graphic>
          </wp:inline>
        </w:drawing>
      </w:r>
    </w:p>
    <w:p w:rsidR="002770C8" w:rsidRDefault="002770C8" w:rsidP="002770C8"/>
    <w:p w:rsidR="002770C8" w:rsidRDefault="002770C8" w:rsidP="002770C8">
      <w:r>
        <w:t xml:space="preserve">Eg set inn dei same tala (Per 30 dagar eller per 10 dagar -2% rabatt)i modellen for berekning av leverandørkreditt. Og får då ei tilnærma rente på 36% og ei effektiv rente på 42,6%. </w:t>
      </w:r>
    </w:p>
    <w:p w:rsidR="004C57FC" w:rsidRPr="00167A14" w:rsidRDefault="004C57FC"/>
    <w:p w:rsidR="009514A4" w:rsidRDefault="009514A4"/>
    <w:p w:rsidR="00891769" w:rsidRDefault="00891769">
      <w:pPr>
        <w:rPr>
          <w:b/>
        </w:rPr>
      </w:pPr>
      <w:r>
        <w:t>Konklusjonen e</w:t>
      </w:r>
      <w:r w:rsidR="00A440C5">
        <w:t>r at kostnaden ved leverandørgjeld</w:t>
      </w:r>
      <w:r>
        <w:t xml:space="preserve"> er mykje høgare enn kostnaden ved kassakreditt (som er på </w:t>
      </w:r>
      <w:r w:rsidR="00F623BA">
        <w:t xml:space="preserve">ca. </w:t>
      </w:r>
      <w:r>
        <w:t>10%).</w:t>
      </w:r>
      <w:r w:rsidR="00F623BA">
        <w:t xml:space="preserve"> Sjølv om renta kan endre seg ein del på nokre år, så er forskjellen på leverandørkreditt og kassakreditt så store at dei </w:t>
      </w:r>
      <w:r w:rsidR="00F623BA">
        <w:rPr>
          <w:b/>
        </w:rPr>
        <w:t>bør v</w:t>
      </w:r>
      <w:r w:rsidR="00F623BA" w:rsidRPr="00F623BA">
        <w:rPr>
          <w:b/>
        </w:rPr>
        <w:t xml:space="preserve">elje bere kassakreditt når dei skal finansiere utvidinga. </w:t>
      </w:r>
    </w:p>
    <w:p w:rsidR="005032A6" w:rsidRDefault="005032A6">
      <w:pPr>
        <w:rPr>
          <w:b/>
        </w:rPr>
      </w:pPr>
    </w:p>
    <w:p w:rsidR="005032A6" w:rsidRDefault="005032A6">
      <w:r>
        <w:t xml:space="preserve">Har ikkje opplysningar om offentleg gjeld/anna kortsiktig gjeld, men vil tru at den effektive renta dei kan få her ikkje er så mykje lågare enn ca. 10% (som dei får på kassakreditten). Utelukkar derfor denne forma for finansiering. </w:t>
      </w:r>
    </w:p>
    <w:p w:rsidR="00BF2366" w:rsidRDefault="00BF2366"/>
    <w:p w:rsidR="00BF2366" w:rsidRPr="005032A6" w:rsidRDefault="00BF2366">
      <w:r>
        <w:t xml:space="preserve">Har heller ikkje opplysningar om andre omløpsmiddel eller likviditetsreserve. Har ikkje gode føresetnadar for å berekne desse, difor utelet eg dei. </w:t>
      </w:r>
    </w:p>
    <w:p w:rsidR="002770C8" w:rsidRDefault="002770C8">
      <w:pPr>
        <w:rPr>
          <w:b/>
        </w:rPr>
      </w:pPr>
    </w:p>
    <w:p w:rsidR="002770C8" w:rsidRPr="00BF2366" w:rsidRDefault="00A440C5">
      <w:pPr>
        <w:rPr>
          <w:b/>
        </w:rPr>
      </w:pPr>
      <w:r w:rsidRPr="00BF2366">
        <w:rPr>
          <w:b/>
        </w:rPr>
        <w:t>Med tala og føresetnadane eg har nemnd ovanfor f</w:t>
      </w:r>
      <w:r w:rsidR="00BF2366" w:rsidRPr="00BF2366">
        <w:rPr>
          <w:b/>
        </w:rPr>
        <w:t xml:space="preserve">år eg </w:t>
      </w:r>
      <w:r w:rsidR="00EB0B26" w:rsidRPr="00BF2366">
        <w:rPr>
          <w:b/>
        </w:rPr>
        <w:t>denne planen:</w:t>
      </w:r>
    </w:p>
    <w:p w:rsidR="00EB0B26" w:rsidRDefault="00EB0B26"/>
    <w:p w:rsidR="00EB0B26" w:rsidRDefault="00BF2366">
      <w:r>
        <w:rPr>
          <w:noProof/>
          <w:lang w:val="nb-NO" w:eastAsia="nb-NO"/>
        </w:rPr>
        <w:drawing>
          <wp:inline distT="0" distB="0" distL="0" distR="0">
            <wp:extent cx="6151514" cy="3314700"/>
            <wp:effectExtent l="19050" t="0" r="1636" b="0"/>
            <wp:docPr id="14" name="Bild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srcRect/>
                    <a:stretch>
                      <a:fillRect/>
                    </a:stretch>
                  </pic:blipFill>
                  <pic:spPr bwMode="auto">
                    <a:xfrm>
                      <a:off x="0" y="0"/>
                      <a:ext cx="6151514" cy="3314700"/>
                    </a:xfrm>
                    <a:prstGeom prst="rect">
                      <a:avLst/>
                    </a:prstGeom>
                    <a:noFill/>
                    <a:ln w="9525">
                      <a:noFill/>
                      <a:miter lim="800000"/>
                      <a:headEnd/>
                      <a:tailEnd/>
                    </a:ln>
                  </pic:spPr>
                </pic:pic>
              </a:graphicData>
            </a:graphic>
          </wp:inline>
        </w:drawing>
      </w:r>
    </w:p>
    <w:p w:rsidR="002770C8" w:rsidRDefault="002770C8"/>
    <w:p w:rsidR="00BD69E9" w:rsidRDefault="00BD69E9">
      <w:pPr>
        <w:rPr>
          <w:b/>
          <w:sz w:val="32"/>
        </w:rPr>
      </w:pPr>
    </w:p>
    <w:p w:rsidR="00A62A90" w:rsidRPr="00A62A90" w:rsidRDefault="00A62A90">
      <w:pPr>
        <w:rPr>
          <w:b/>
          <w:sz w:val="32"/>
        </w:rPr>
      </w:pPr>
      <w:r w:rsidRPr="00A62A90">
        <w:rPr>
          <w:b/>
          <w:sz w:val="32"/>
        </w:rPr>
        <w:lastRenderedPageBreak/>
        <w:t>Dekningspunktanalyse</w:t>
      </w:r>
    </w:p>
    <w:p w:rsidR="00A62A90" w:rsidRDefault="00A62A90"/>
    <w:p w:rsidR="002D7DD9" w:rsidRDefault="002D7DD9">
      <w:r>
        <w:t xml:space="preserve">Utsalspris er 2800 med mva. Eg må rekne meg tilbake til pris utan mva. for å få dei rette tala i modellen. </w:t>
      </w:r>
    </w:p>
    <w:p w:rsidR="002D7DD9" w:rsidRDefault="002D7DD9"/>
    <w:p w:rsidR="002D7DD9" w:rsidRDefault="002D7DD9">
      <w:r>
        <w:t>Pris utan mva. : (2800/1,25)= 2240 kr</w:t>
      </w:r>
    </w:p>
    <w:p w:rsidR="002D7DD9" w:rsidRDefault="002D7DD9"/>
    <w:p w:rsidR="002D7DD9" w:rsidRDefault="002D7DD9">
      <w:r>
        <w:t xml:space="preserve">Inntakskost til butikken utan mva. er 1 250 kr </w:t>
      </w:r>
    </w:p>
    <w:p w:rsidR="002D7DD9" w:rsidRDefault="002D7DD9"/>
    <w:p w:rsidR="002D7DD9" w:rsidRDefault="002D7DD9">
      <w:r>
        <w:t>Faste fordelte kostnadar er rekna til ca. 80 000 kr</w:t>
      </w:r>
    </w:p>
    <w:p w:rsidR="002D7DD9" w:rsidRDefault="002D7DD9"/>
    <w:p w:rsidR="00C477C4" w:rsidRDefault="00C477C4">
      <w:r>
        <w:t>Årleg sal på 100 einingar</w:t>
      </w:r>
    </w:p>
    <w:p w:rsidR="00C477C4" w:rsidRDefault="00C477C4"/>
    <w:p w:rsidR="00C477C4" w:rsidRDefault="00C477C4">
      <w:r>
        <w:rPr>
          <w:b/>
        </w:rPr>
        <w:t>Dekningspunktanalyse</w:t>
      </w:r>
    </w:p>
    <w:p w:rsidR="00C477C4" w:rsidRDefault="00C477C4">
      <w:r>
        <w:rPr>
          <w:noProof/>
          <w:lang w:val="nb-NO" w:eastAsia="nb-NO"/>
        </w:rPr>
        <w:drawing>
          <wp:inline distT="0" distB="0" distL="0" distR="0">
            <wp:extent cx="5753100" cy="2552700"/>
            <wp:effectExtent l="19050" t="0" r="0" b="0"/>
            <wp:docPr id="11" name="Bild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srcRect/>
                    <a:stretch>
                      <a:fillRect/>
                    </a:stretch>
                  </pic:blipFill>
                  <pic:spPr bwMode="auto">
                    <a:xfrm>
                      <a:off x="0" y="0"/>
                      <a:ext cx="5753100" cy="2552700"/>
                    </a:xfrm>
                    <a:prstGeom prst="rect">
                      <a:avLst/>
                    </a:prstGeom>
                    <a:noFill/>
                    <a:ln w="9525">
                      <a:noFill/>
                      <a:miter lim="800000"/>
                      <a:headEnd/>
                      <a:tailEnd/>
                    </a:ln>
                  </pic:spPr>
                </pic:pic>
              </a:graphicData>
            </a:graphic>
          </wp:inline>
        </w:drawing>
      </w:r>
    </w:p>
    <w:p w:rsidR="002D7DD9" w:rsidRDefault="002D7DD9"/>
    <w:p w:rsidR="002D7DD9" w:rsidRDefault="00C206DB">
      <w:pPr>
        <w:rPr>
          <w:b/>
        </w:rPr>
      </w:pPr>
      <w:r>
        <w:rPr>
          <w:b/>
        </w:rPr>
        <w:t>Aktuelle talstorleikar for å betre lønnsemda:</w:t>
      </w:r>
    </w:p>
    <w:p w:rsidR="005A1CF5" w:rsidRDefault="005A1CF5">
      <w:pPr>
        <w:rPr>
          <w:b/>
        </w:rPr>
      </w:pPr>
    </w:p>
    <w:p w:rsidR="005A1CF5" w:rsidRDefault="005A1CF5">
      <w:pPr>
        <w:rPr>
          <w:b/>
        </w:rPr>
      </w:pPr>
      <w:r>
        <w:rPr>
          <w:b/>
        </w:rPr>
        <w:t xml:space="preserve">Følsemdeanalyse for talstorleikar </w:t>
      </w:r>
    </w:p>
    <w:p w:rsidR="008A1529" w:rsidRDefault="008A1529" w:rsidP="008A1529">
      <w:pPr>
        <w:rPr>
          <w:rFonts w:ascii="Calibri" w:eastAsia="Calibri" w:hAnsi="Calibri" w:cs="Times New Roman"/>
          <w:i/>
        </w:rPr>
      </w:pPr>
    </w:p>
    <w:p w:rsidR="00A47B66" w:rsidRDefault="00C607D6" w:rsidP="008A1529">
      <w:r>
        <w:t xml:space="preserve">Dekningsgrada er 44,2% noko som i utgongspunktet verkar veldig bra. </w:t>
      </w:r>
      <w:r w:rsidR="00A47B66">
        <w:t xml:space="preserve">Men sidan det er snakk om så små summar så blir likevel ikkje resultatet så veldig høgt. Resultatgrad på 8,5%. </w:t>
      </w:r>
    </w:p>
    <w:p w:rsidR="005A1CF5" w:rsidRDefault="008F4184" w:rsidP="008A1529">
      <w:r>
        <w:t xml:space="preserve">Oleana AS må selje meir enn 81 skjørt for å gå med overskot. Noko som vil seie at dei har ein sikkerheitsmargin på 19,2%. Denne kan nok verke stor. Men ein reduksjon i salet på 20 skjørt er ikkje nødvendigvis så veldig mykje. Spesielt med tanke på at dette er veldig dyre skjørt (2800), sjølv i Noreg. Og </w:t>
      </w:r>
      <w:r w:rsidR="00631A93">
        <w:t>når ein veit at turistar er ein stor del av kundane</w:t>
      </w:r>
      <w:r w:rsidR="005A1CF5">
        <w:t xml:space="preserve"> så kan det nok vere ei viss fare for at etterspurnaden kan svinge lett. Spesielt når ein tenkjer over dagens situasjon med finanskrisa, som gjer at turistane får  dårlegare råd og kanskje ikkje kjøper allereie dyre produkt i Noreg (s</w:t>
      </w:r>
      <w:r>
        <w:t xml:space="preserve">jølv om dei har god kvalitet </w:t>
      </w:r>
      <w:r w:rsidR="005A1CF5">
        <w:t>og design).</w:t>
      </w:r>
    </w:p>
    <w:p w:rsidR="005A1CF5" w:rsidRDefault="005A1CF5" w:rsidP="008A1529"/>
    <w:p w:rsidR="005A1CF5" w:rsidRDefault="005A1CF5" w:rsidP="008A1529">
      <w:r>
        <w:t xml:space="preserve">Likevel så er det nok ikkje prisen Oleana AS bør satse på å setje ned når dei skal forbetre lønnsemda (for å eventuelt selje meir). Dette fordi produkta frå Olena er kvalitetsprodukt med fokus på design, førsteklasses stoff. Å setje ned prisen vil  kunne redusere omdømme til bedrifta og forminske inntrykket av førsteklasses produkt. Dei bør heller prøve å halde prisen på eit </w:t>
      </w:r>
      <w:r w:rsidR="00C607D6">
        <w:t xml:space="preserve">tilnærma tilsvarande nivå (ikkje så mykje opp heller sidan det allereie er dyrt og kjøpekrafta til turistar har gått ned den siste tida pga. finanskrisa). </w:t>
      </w:r>
    </w:p>
    <w:p w:rsidR="00C607D6" w:rsidRDefault="00C607D6" w:rsidP="008A1529"/>
    <w:p w:rsidR="00C607D6" w:rsidRDefault="00C607D6" w:rsidP="008A1529">
      <w:r>
        <w:lastRenderedPageBreak/>
        <w:t xml:space="preserve">Ein bør heller sjå på korleis ein kan klare å kutte i dei variable kostnadane. Med dagens økonomiske situasjon (synkande etterspurnad verda over) så vil eg tru det vil vere mogleg å få forhandla seg fram til litt lågare prisar på råvarene (silke) dei brukar og på den måten klare å få redusert dei variable kostnadane sine. </w:t>
      </w:r>
    </w:p>
    <w:p w:rsidR="00C607D6" w:rsidRDefault="00C607D6" w:rsidP="008A1529"/>
    <w:p w:rsidR="00C607D6" w:rsidRDefault="00C607D6" w:rsidP="008A1529">
      <w:r>
        <w:t xml:space="preserve">100 skjørt er ikkje så mykje. Så å auke marknadsføringa litt for å kunne klare å selje ei større mengde kan nok vere eit alternativ. </w:t>
      </w:r>
    </w:p>
    <w:p w:rsidR="00C607D6" w:rsidRDefault="00C607D6" w:rsidP="008A1529"/>
    <w:p w:rsidR="00C607D6" w:rsidRDefault="00C607D6" w:rsidP="008A1529">
      <w:r>
        <w:t>Å redusere dei faste kostnadane sine er nok heller ikkje så veldig aktuelt. Det er ikkje så lett å gjere dette. Og i tillegg har bedrifta ein filosofi om å skape og halde på arbeidsplassar (</w:t>
      </w:r>
      <w:hyperlink r:id="rId20" w:history="1">
        <w:r w:rsidRPr="00DF5348">
          <w:rPr>
            <w:rStyle w:val="Hyperkobling"/>
          </w:rPr>
          <w:t>http://oleana.no/html/filosofi.html</w:t>
        </w:r>
      </w:hyperlink>
      <w:r>
        <w:t xml:space="preserve">). Så dette ser eg som meir uaktuelt. </w:t>
      </w:r>
    </w:p>
    <w:p w:rsidR="00C607D6" w:rsidRDefault="00C607D6" w:rsidP="008A1529"/>
    <w:p w:rsidR="00C607D6" w:rsidRDefault="00C607D6" w:rsidP="008A1529">
      <w:r>
        <w:t>Sjølv om det ser ut til at Oleana AS foreløpig har ein god lønnsomheit for skjørtet (dekningsgrad på 44,2%)</w:t>
      </w:r>
    </w:p>
    <w:p w:rsidR="00C607D6" w:rsidRPr="00C607D6" w:rsidRDefault="00C607D6" w:rsidP="008A1529">
      <w:pPr>
        <w:rPr>
          <w:b/>
        </w:rPr>
      </w:pPr>
      <w:r w:rsidRPr="00C607D6">
        <w:rPr>
          <w:b/>
        </w:rPr>
        <w:t>Konklusjonen må vert at for å betre lønnsemda for skjørtet bør Oleana AS:</w:t>
      </w:r>
    </w:p>
    <w:p w:rsidR="00C607D6" w:rsidRDefault="00C607D6" w:rsidP="008A1529">
      <w:r>
        <w:t xml:space="preserve"> - prøve å redusere dei variable kostnadane med å få betre leverandøravtalar</w:t>
      </w:r>
    </w:p>
    <w:p w:rsidR="00C607D6" w:rsidRDefault="00C607D6" w:rsidP="008A1529">
      <w:r>
        <w:t xml:space="preserve"> - prøve å få auka den selte mengda litt, ved å auke marknadsføringa (dette er mindre truleg pga. dårlegare kjøpekraft hos turistar)</w:t>
      </w:r>
    </w:p>
    <w:p w:rsidR="005A1CF5" w:rsidRDefault="005A1CF5" w:rsidP="008A1529"/>
    <w:p w:rsidR="008F4184" w:rsidRDefault="008F4184" w:rsidP="008A1529">
      <w:r>
        <w:t xml:space="preserve"> </w:t>
      </w:r>
    </w:p>
    <w:p w:rsidR="00A62A90" w:rsidRPr="00A62A90" w:rsidRDefault="00A62A90">
      <w:pPr>
        <w:rPr>
          <w:b/>
          <w:sz w:val="32"/>
        </w:rPr>
      </w:pPr>
      <w:r w:rsidRPr="00A62A90">
        <w:rPr>
          <w:b/>
          <w:sz w:val="32"/>
        </w:rPr>
        <w:t>Globalisering</w:t>
      </w:r>
    </w:p>
    <w:p w:rsidR="00825050" w:rsidRDefault="00825050"/>
    <w:p w:rsidR="00420BE8" w:rsidRDefault="00420BE8" w:rsidP="00420BE8">
      <w:pPr>
        <w:rPr>
          <w:i/>
          <w:lang w:val="nb-NO"/>
        </w:rPr>
      </w:pPr>
      <w:r w:rsidRPr="003E31B1">
        <w:rPr>
          <w:i/>
          <w:lang w:val="nb-NO"/>
        </w:rPr>
        <w:t>”Med globalisering forstår vi de økonomiske, politiske og kulturelle prosessene som gjør at våre liv i økende grad blir vevd sammen med livene til folk i andre land.”</w:t>
      </w:r>
      <w:r w:rsidR="00F04E47" w:rsidRPr="00F04E47">
        <w:rPr>
          <w:lang w:val="nb-NO"/>
        </w:rPr>
        <w:t xml:space="preserve"> </w:t>
      </w:r>
      <w:r w:rsidR="00F04E47">
        <w:rPr>
          <w:lang w:val="nb-NO"/>
        </w:rPr>
        <w:t>(Økonomi og Ledelse, Ottesen m. fl., s 232,Bergen 08)</w:t>
      </w:r>
    </w:p>
    <w:p w:rsidR="00F04E47" w:rsidRDefault="00F04E47" w:rsidP="00420BE8">
      <w:pPr>
        <w:rPr>
          <w:i/>
          <w:lang w:val="nb-NO"/>
        </w:rPr>
      </w:pPr>
    </w:p>
    <w:p w:rsidR="00F04E47" w:rsidRDefault="00F04E47" w:rsidP="00F04E47">
      <w:r>
        <w:t>Ein kan ikkje sjå på den økonomiske globaliseringa utan å sjå den i forhold til den politiske og den kulturelle globaliseringa. Alle desse prosessane heng saman. Derfor definerer eg alle dei tre typane.</w:t>
      </w:r>
    </w:p>
    <w:p w:rsidR="00420BE8" w:rsidRPr="003E31B1" w:rsidRDefault="00420BE8" w:rsidP="00420BE8">
      <w:pPr>
        <w:rPr>
          <w:i/>
          <w:lang w:val="nb-NO"/>
        </w:rPr>
      </w:pPr>
    </w:p>
    <w:p w:rsidR="00825050" w:rsidRDefault="00420BE8" w:rsidP="00825050">
      <w:pPr>
        <w:rPr>
          <w:lang w:val="nb-NO"/>
        </w:rPr>
      </w:pPr>
      <w:r w:rsidRPr="003E31B1">
        <w:rPr>
          <w:i/>
          <w:lang w:val="nb-NO"/>
        </w:rPr>
        <w:t>”De økonomiske prosessene omfatter handel, investeringer, produksjon og finansielle transaksjoner</w:t>
      </w:r>
      <w:r w:rsidR="00825050">
        <w:rPr>
          <w:i/>
          <w:lang w:val="nb-NO"/>
        </w:rPr>
        <w:t xml:space="preserve">, </w:t>
      </w:r>
      <w:r w:rsidR="00825050">
        <w:rPr>
          <w:lang w:val="nb-NO"/>
        </w:rPr>
        <w:t xml:space="preserve">mens de politiske for eksempel dreier seg om internasjonalt samarbeid i regi av FN, Verdens Handelsorganisasjon (World Trade Organisation – WTO) og EU. Gjennom slike organisasjoner forsøker vi å etablere rammeverk og regler for hvordan globaliseringen skal foregå.” </w:t>
      </w:r>
      <w:r w:rsidR="00F04E47">
        <w:rPr>
          <w:lang w:val="nb-NO"/>
        </w:rPr>
        <w:t>(Økonomi og Ledelse, Ottesen m. fl., s 232,Bergen 08)</w:t>
      </w:r>
    </w:p>
    <w:p w:rsidR="00825050" w:rsidRDefault="00825050" w:rsidP="00825050">
      <w:pPr>
        <w:rPr>
          <w:lang w:val="nb-NO"/>
        </w:rPr>
      </w:pPr>
    </w:p>
    <w:p w:rsidR="00825050" w:rsidRDefault="00825050" w:rsidP="00825050">
      <w:pPr>
        <w:rPr>
          <w:lang w:val="nb-NO"/>
        </w:rPr>
      </w:pPr>
      <w:r>
        <w:rPr>
          <w:lang w:val="nb-NO"/>
        </w:rPr>
        <w:t>”De kulturelle prosessene fører dels til at folk blir mer kjent med kulturene i andre land, og dels til at forskjellene mellom ulike kulturer blir mindre. Vi kjøper de samme merkevarene og blir utsatt for den samme reklamepåvirkningen. Vi drar stadig mer utenlands – på ferie, i jobben eller for å studere. Vi deler ideer, moter og musikk og arrangerer stadig mer omfattende internasjonale sportsbegivenheter, for eksempel de olympiske leker. Og kanskje aller viktigst, med Internett har vi et globalt kommunikasjonsverktøy med en eksplosiv utbredelse. ”</w:t>
      </w:r>
      <w:r w:rsidR="00F04E47" w:rsidRPr="00F04E47">
        <w:rPr>
          <w:lang w:val="nb-NO"/>
        </w:rPr>
        <w:t xml:space="preserve"> </w:t>
      </w:r>
      <w:r w:rsidR="00F04E47">
        <w:rPr>
          <w:lang w:val="nb-NO"/>
        </w:rPr>
        <w:t>(Økonomi og Ledelse, Ottesen m. fl., s 232,Bergen 08)</w:t>
      </w:r>
    </w:p>
    <w:p w:rsidR="007E082F" w:rsidRDefault="007E082F" w:rsidP="00420BE8">
      <w:pPr>
        <w:rPr>
          <w:lang w:val="nb-NO"/>
        </w:rPr>
      </w:pPr>
    </w:p>
    <w:p w:rsidR="007E082F" w:rsidRDefault="004C05B5" w:rsidP="00420BE8">
      <w:r>
        <w:t>Konsekvensar</w:t>
      </w:r>
      <w:r w:rsidR="007E082F" w:rsidRPr="007E082F">
        <w:t xml:space="preserve"> av </w:t>
      </w:r>
      <w:r w:rsidR="007E082F">
        <w:t>den økonomiske globaliseringa:</w:t>
      </w:r>
    </w:p>
    <w:p w:rsidR="007E082F" w:rsidRDefault="007E082F" w:rsidP="00420BE8"/>
    <w:p w:rsidR="007E082F" w:rsidRDefault="007E082F" w:rsidP="00420BE8">
      <w:r>
        <w:t xml:space="preserve"> - Lettare å kome inn på marknadane i andre land</w:t>
      </w:r>
    </w:p>
    <w:p w:rsidR="007E082F" w:rsidRDefault="007E082F" w:rsidP="00420BE8">
      <w:r>
        <w:t xml:space="preserve"> - Ein får eit breiare tilbod av varer og tenester (du kan kjøpe varer og tenester frå heile verda</w:t>
      </w:r>
      <w:r w:rsidR="00825050">
        <w:t>, Internett sentralt</w:t>
      </w:r>
      <w:r>
        <w:t>)</w:t>
      </w:r>
    </w:p>
    <w:p w:rsidR="004461C0" w:rsidRDefault="004461C0" w:rsidP="00420BE8">
      <w:r>
        <w:t>- Meir bevisste forbrukarar (internett sentralt også her, i tillegg til at det store spennet i varer og tenester gjer at det vert lettare for forbrukaren å velje den ”rette” vara for sitt bruk)</w:t>
      </w:r>
    </w:p>
    <w:p w:rsidR="007E082F" w:rsidRDefault="007E082F" w:rsidP="00420BE8">
      <w:r>
        <w:t xml:space="preserve"> - Det blir sterkare konkurranse blant bedrifter om å tilby det beste og mest salsvennlege produktet</w:t>
      </w:r>
    </w:p>
    <w:p w:rsidR="007E082F" w:rsidRDefault="007E082F" w:rsidP="00420BE8">
      <w:r>
        <w:lastRenderedPageBreak/>
        <w:t xml:space="preserve"> - Teknologien og motane endrar seg raskare, høgare krav til kompetanse og evne til omstilling</w:t>
      </w:r>
    </w:p>
    <w:p w:rsidR="007E082F" w:rsidRDefault="007E082F" w:rsidP="00420BE8">
      <w:r>
        <w:t xml:space="preserve"> - Auka velstand generelt (</w:t>
      </w:r>
      <w:r w:rsidR="00825050">
        <w:t xml:space="preserve">med det </w:t>
      </w:r>
      <w:r>
        <w:t>kapitalis</w:t>
      </w:r>
      <w:r w:rsidR="00825050">
        <w:t>tiske systemet)</w:t>
      </w:r>
    </w:p>
    <w:p w:rsidR="00825050" w:rsidRDefault="00825050" w:rsidP="00420BE8">
      <w:r>
        <w:t xml:space="preserve"> - Lettare flyt av arbeidskraft</w:t>
      </w:r>
      <w:r w:rsidR="004461C0">
        <w:t xml:space="preserve"> og billegare arbeidskraft (eit større samla tilbod av arbeidskraft gjer den billegare)</w:t>
      </w:r>
    </w:p>
    <w:p w:rsidR="00825050" w:rsidRDefault="00825050" w:rsidP="00420BE8">
      <w:r>
        <w:t xml:space="preserve"> - Lettare å ha avdelingar i ulike land (lettare for dei store multinasjonale selskapa)</w:t>
      </w:r>
    </w:p>
    <w:p w:rsidR="00825050" w:rsidRPr="007E082F" w:rsidRDefault="004461C0" w:rsidP="00420BE8">
      <w:r>
        <w:t xml:space="preserve"> </w:t>
      </w:r>
      <w:r w:rsidR="00825050">
        <w:t xml:space="preserve"> </w:t>
      </w:r>
    </w:p>
    <w:p w:rsidR="007E082F" w:rsidRPr="0094224C" w:rsidRDefault="00825050" w:rsidP="00420BE8">
      <w:pPr>
        <w:rPr>
          <w:i/>
        </w:rPr>
      </w:pPr>
      <w:r w:rsidRPr="0094224C">
        <w:rPr>
          <w:i/>
        </w:rPr>
        <w:t xml:space="preserve">Som for resten av verda, har den økonomiske globaliseringa ein del å seie </w:t>
      </w:r>
      <w:r w:rsidR="004C05B5" w:rsidRPr="0094224C">
        <w:rPr>
          <w:i/>
        </w:rPr>
        <w:t>b</w:t>
      </w:r>
      <w:r w:rsidRPr="0094224C">
        <w:rPr>
          <w:i/>
        </w:rPr>
        <w:t xml:space="preserve">åde </w:t>
      </w:r>
      <w:r w:rsidR="004C05B5" w:rsidRPr="0094224C">
        <w:rPr>
          <w:i/>
        </w:rPr>
        <w:t xml:space="preserve">for dei </w:t>
      </w:r>
      <w:r w:rsidR="007E082F" w:rsidRPr="0094224C">
        <w:rPr>
          <w:i/>
        </w:rPr>
        <w:t xml:space="preserve">tilsette i Oleana AS, bedrifta </w:t>
      </w:r>
      <w:r w:rsidR="004C05B5" w:rsidRPr="0094224C">
        <w:rPr>
          <w:i/>
        </w:rPr>
        <w:t xml:space="preserve">Oleana AS </w:t>
      </w:r>
      <w:r w:rsidR="007E082F" w:rsidRPr="0094224C">
        <w:rPr>
          <w:i/>
        </w:rPr>
        <w:t>og lokalsamfunnet</w:t>
      </w:r>
      <w:r w:rsidRPr="0094224C">
        <w:rPr>
          <w:i/>
        </w:rPr>
        <w:t>.</w:t>
      </w:r>
    </w:p>
    <w:p w:rsidR="00825050" w:rsidRDefault="00825050" w:rsidP="00420BE8"/>
    <w:p w:rsidR="0094224C" w:rsidRDefault="0094224C" w:rsidP="00420BE8">
      <w:r>
        <w:t xml:space="preserve"> - som følgje av globaliseringa vert det sterkare konkurranse, dette gjer det vanskelegare både for bedrifta, dei tilsette og lokalsamfunnet. Bedrifta må heile tida strebe etter å vere konkurransedyktige.</w:t>
      </w:r>
    </w:p>
    <w:p w:rsidR="0094224C" w:rsidRDefault="0094224C" w:rsidP="00420BE8">
      <w:r>
        <w:t xml:space="preserve"> For Oleana vil dette seie å ha best moglege kvalitet, design og å vere litt annleis. </w:t>
      </w:r>
    </w:p>
    <w:p w:rsidR="0094224C" w:rsidRDefault="0094224C" w:rsidP="00420BE8">
      <w:r>
        <w:t>Bedrifta vil vere avhengige av gode lojale tilsette, som heile opprettheld og forbetrar kompetansen sin.</w:t>
      </w:r>
    </w:p>
    <w:p w:rsidR="0094224C" w:rsidRDefault="0094224C" w:rsidP="00420BE8">
      <w:r>
        <w:t>Lokalsamfunnet kan vere trua av globaliseringa på same måten som bedrifta og dei tilsette. Det er stor konkurranse og fare for at bedrifta går konkurs og folk i lokalsamfunnet misser arbeidsplassane.</w:t>
      </w:r>
    </w:p>
    <w:p w:rsidR="00FA5DDF" w:rsidRDefault="00FA5DDF" w:rsidP="00420BE8"/>
    <w:p w:rsidR="00FA5DDF" w:rsidRDefault="00FA5DDF" w:rsidP="00420BE8"/>
    <w:p w:rsidR="00FA5DDF" w:rsidRDefault="00FA5DDF" w:rsidP="00420BE8">
      <w:r>
        <w:t xml:space="preserve">Fakta om Oleana as frå nettsidene deira www.oleana.no: </w:t>
      </w:r>
    </w:p>
    <w:p w:rsidR="00FA5DDF" w:rsidRDefault="00FA5DDF" w:rsidP="00420BE8"/>
    <w:p w:rsidR="00FA5DDF" w:rsidRDefault="00FA5DDF" w:rsidP="00420BE8">
      <w:r>
        <w:rPr>
          <w:noProof/>
          <w:lang w:val="nb-NO" w:eastAsia="nb-NO"/>
        </w:rPr>
        <w:drawing>
          <wp:inline distT="0" distB="0" distL="0" distR="0">
            <wp:extent cx="2695575" cy="3536131"/>
            <wp:effectExtent l="19050" t="0" r="9525" b="0"/>
            <wp:docPr id="17" name="Bilde 12" descr="C:\Users\helge\Documents\Skule\Skuledokument VG3, 08-09\Økonomi og leiing\Eksamen\OLEANA AS\nyheter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helge\Documents\Skule\Skuledokument VG3, 08-09\Økonomi og leiing\Eksamen\OLEANA AS\nyheter_01.jpg"/>
                    <pic:cNvPicPr>
                      <a:picLocks noChangeAspect="1" noChangeArrowheads="1"/>
                    </pic:cNvPicPr>
                  </pic:nvPicPr>
                  <pic:blipFill>
                    <a:blip r:embed="rId21"/>
                    <a:srcRect/>
                    <a:stretch>
                      <a:fillRect/>
                    </a:stretch>
                  </pic:blipFill>
                  <pic:spPr bwMode="auto">
                    <a:xfrm>
                      <a:off x="0" y="0"/>
                      <a:ext cx="2695575" cy="3536131"/>
                    </a:xfrm>
                    <a:prstGeom prst="rect">
                      <a:avLst/>
                    </a:prstGeom>
                    <a:noFill/>
                    <a:ln w="9525">
                      <a:noFill/>
                      <a:miter lim="800000"/>
                      <a:headEnd/>
                      <a:tailEnd/>
                    </a:ln>
                  </pic:spPr>
                </pic:pic>
              </a:graphicData>
            </a:graphic>
          </wp:inline>
        </w:drawing>
      </w:r>
      <w:r>
        <w:rPr>
          <w:noProof/>
          <w:lang w:val="nb-NO" w:eastAsia="nb-NO"/>
        </w:rPr>
        <w:drawing>
          <wp:anchor distT="0" distB="0" distL="114300" distR="114300" simplePos="0" relativeHeight="251671552" behindDoc="0" locked="0" layoutInCell="1" allowOverlap="1">
            <wp:simplePos x="0" y="0"/>
            <wp:positionH relativeFrom="column">
              <wp:align>left</wp:align>
            </wp:positionH>
            <wp:positionV relativeFrom="paragraph">
              <wp:align>top</wp:align>
            </wp:positionV>
            <wp:extent cx="2676525" cy="3438525"/>
            <wp:effectExtent l="19050" t="0" r="9525" b="0"/>
            <wp:wrapSquare wrapText="bothSides"/>
            <wp:docPr id="16" name="Bilde 11" descr="C:\Users\helge\Documents\Skule\Skuledokument VG3, 08-09\Økonomi og leiing\Eksamen\OLEANA AS\filosofi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helge\Documents\Skule\Skuledokument VG3, 08-09\Økonomi og leiing\Eksamen\OLEANA AS\filosofi_01.jpg"/>
                    <pic:cNvPicPr>
                      <a:picLocks noChangeAspect="1" noChangeArrowheads="1"/>
                    </pic:cNvPicPr>
                  </pic:nvPicPr>
                  <pic:blipFill>
                    <a:blip r:embed="rId22"/>
                    <a:srcRect/>
                    <a:stretch>
                      <a:fillRect/>
                    </a:stretch>
                  </pic:blipFill>
                  <pic:spPr bwMode="auto">
                    <a:xfrm>
                      <a:off x="0" y="0"/>
                      <a:ext cx="2676525" cy="3438525"/>
                    </a:xfrm>
                    <a:prstGeom prst="rect">
                      <a:avLst/>
                    </a:prstGeom>
                    <a:noFill/>
                    <a:ln w="9525">
                      <a:noFill/>
                      <a:miter lim="800000"/>
                      <a:headEnd/>
                      <a:tailEnd/>
                    </a:ln>
                  </pic:spPr>
                </pic:pic>
              </a:graphicData>
            </a:graphic>
          </wp:anchor>
        </w:drawing>
      </w:r>
      <w:r>
        <w:br w:type="textWrapping" w:clear="all"/>
      </w:r>
    </w:p>
    <w:p w:rsidR="00FA5DDF" w:rsidRDefault="00FA5DDF" w:rsidP="00420BE8">
      <w:r>
        <w:rPr>
          <w:noProof/>
          <w:lang w:val="nb-NO" w:eastAsia="nb-NO"/>
        </w:rPr>
        <w:lastRenderedPageBreak/>
        <w:drawing>
          <wp:inline distT="0" distB="0" distL="0" distR="0">
            <wp:extent cx="2752725" cy="3650353"/>
            <wp:effectExtent l="19050" t="0" r="9525" b="0"/>
            <wp:docPr id="19" name="Bilde 14" descr="C:\Users\helge\Documents\Skule\Skuledokument VG3, 08-09\Økonomi og leiing\Eksamen\OLEANA AS\utmerkelser_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helge\Documents\Skule\Skuledokument VG3, 08-09\Økonomi og leiing\Eksamen\OLEANA AS\utmerkelser_02.jpg"/>
                    <pic:cNvPicPr>
                      <a:picLocks noChangeAspect="1" noChangeArrowheads="1"/>
                    </pic:cNvPicPr>
                  </pic:nvPicPr>
                  <pic:blipFill>
                    <a:blip r:embed="rId23"/>
                    <a:srcRect/>
                    <a:stretch>
                      <a:fillRect/>
                    </a:stretch>
                  </pic:blipFill>
                  <pic:spPr bwMode="auto">
                    <a:xfrm>
                      <a:off x="0" y="0"/>
                      <a:ext cx="2752725" cy="3650353"/>
                    </a:xfrm>
                    <a:prstGeom prst="rect">
                      <a:avLst/>
                    </a:prstGeom>
                    <a:noFill/>
                    <a:ln w="9525">
                      <a:noFill/>
                      <a:miter lim="800000"/>
                      <a:headEnd/>
                      <a:tailEnd/>
                    </a:ln>
                  </pic:spPr>
                </pic:pic>
              </a:graphicData>
            </a:graphic>
          </wp:inline>
        </w:drawing>
      </w:r>
      <w:r>
        <w:rPr>
          <w:noProof/>
          <w:lang w:val="nb-NO" w:eastAsia="nb-NO"/>
        </w:rPr>
        <w:drawing>
          <wp:anchor distT="0" distB="0" distL="114300" distR="114300" simplePos="0" relativeHeight="251672576" behindDoc="0" locked="0" layoutInCell="1" allowOverlap="1">
            <wp:simplePos x="0" y="0"/>
            <wp:positionH relativeFrom="column">
              <wp:align>left</wp:align>
            </wp:positionH>
            <wp:positionV relativeFrom="paragraph">
              <wp:align>top</wp:align>
            </wp:positionV>
            <wp:extent cx="2676525" cy="3524250"/>
            <wp:effectExtent l="19050" t="0" r="9525" b="0"/>
            <wp:wrapSquare wrapText="bothSides"/>
            <wp:docPr id="18" name="Bilde 13" descr="C:\Users\helge\Documents\Skule\Skuledokument VG3, 08-09\Økonomi og leiing\Eksamen\OLEANA AS\oleanafolket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helge\Documents\Skule\Skuledokument VG3, 08-09\Økonomi og leiing\Eksamen\OLEANA AS\oleanafolket_01.jpg"/>
                    <pic:cNvPicPr>
                      <a:picLocks noChangeAspect="1" noChangeArrowheads="1"/>
                    </pic:cNvPicPr>
                  </pic:nvPicPr>
                  <pic:blipFill>
                    <a:blip r:embed="rId24"/>
                    <a:srcRect/>
                    <a:stretch>
                      <a:fillRect/>
                    </a:stretch>
                  </pic:blipFill>
                  <pic:spPr bwMode="auto">
                    <a:xfrm>
                      <a:off x="0" y="0"/>
                      <a:ext cx="2676525" cy="3524250"/>
                    </a:xfrm>
                    <a:prstGeom prst="rect">
                      <a:avLst/>
                    </a:prstGeom>
                    <a:noFill/>
                    <a:ln w="9525">
                      <a:noFill/>
                      <a:miter lim="800000"/>
                      <a:headEnd/>
                      <a:tailEnd/>
                    </a:ln>
                  </pic:spPr>
                </pic:pic>
              </a:graphicData>
            </a:graphic>
          </wp:anchor>
        </w:drawing>
      </w:r>
      <w:r>
        <w:br w:type="textWrapping" w:clear="all"/>
      </w:r>
    </w:p>
    <w:p w:rsidR="0094224C" w:rsidRDefault="00FA5DDF" w:rsidP="00420BE8">
      <w:r>
        <w:rPr>
          <w:noProof/>
          <w:lang w:val="nb-NO" w:eastAsia="nb-NO"/>
        </w:rPr>
        <w:drawing>
          <wp:inline distT="0" distB="0" distL="0" distR="0">
            <wp:extent cx="2800291" cy="3286125"/>
            <wp:effectExtent l="19050" t="0" r="59" b="0"/>
            <wp:docPr id="20" name="Bilde 15" descr="C:\Users\helge\Documents\Skule\Skuledokument VG3, 08-09\Økonomi og leiing\Eksamen\OLEANA AS\materialer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helge\Documents\Skule\Skuledokument VG3, 08-09\Økonomi og leiing\Eksamen\OLEANA AS\materialer_01.jpg"/>
                    <pic:cNvPicPr>
                      <a:picLocks noChangeAspect="1" noChangeArrowheads="1"/>
                    </pic:cNvPicPr>
                  </pic:nvPicPr>
                  <pic:blipFill>
                    <a:blip r:embed="rId25"/>
                    <a:srcRect/>
                    <a:stretch>
                      <a:fillRect/>
                    </a:stretch>
                  </pic:blipFill>
                  <pic:spPr bwMode="auto">
                    <a:xfrm>
                      <a:off x="0" y="0"/>
                      <a:ext cx="2800291" cy="3286125"/>
                    </a:xfrm>
                    <a:prstGeom prst="rect">
                      <a:avLst/>
                    </a:prstGeom>
                    <a:noFill/>
                    <a:ln w="9525">
                      <a:noFill/>
                      <a:miter lim="800000"/>
                      <a:headEnd/>
                      <a:tailEnd/>
                    </a:ln>
                  </pic:spPr>
                </pic:pic>
              </a:graphicData>
            </a:graphic>
          </wp:inline>
        </w:drawing>
      </w:r>
    </w:p>
    <w:p w:rsidR="00FA5DDF" w:rsidRDefault="00FA5DDF" w:rsidP="00420BE8"/>
    <w:p w:rsidR="0094224C" w:rsidRDefault="00FA5DDF" w:rsidP="00420BE8">
      <w:r>
        <w:t xml:space="preserve">Som ein ser har </w:t>
      </w:r>
      <w:r w:rsidR="0094224C">
        <w:t>Oleana har brukt globaliseringa til noko positivt. Både for lokalsamfunnet, bedrifta og dei tilsette. Dei baserar drifta si på at dei skal tilby god arbeidsplassar, og dei skal vere ei samfunnsansvarleg. Miljøvennleg og bevisst bedrift som ser sin plass i verda. Dette meiner dei også at produkta d</w:t>
      </w:r>
      <w:r>
        <w:t>eira skal gjenskape. Med sin ny</w:t>
      </w:r>
      <w:r w:rsidR="0094224C">
        <w:t>s</w:t>
      </w:r>
      <w:r>
        <w:t>k</w:t>
      </w:r>
      <w:r w:rsidR="0094224C">
        <w:t xml:space="preserve">apande men samtidg tradisjonelle design som blandar ulike kulturuttrykk verda over. </w:t>
      </w:r>
      <w:r>
        <w:t xml:space="preserve">Selvfølegeleg kan globaliseringa gjere at dei får skarpare konkurranse frå andre som rettar seg mot same segmentet. Men når dei satsar på dei verdiane dei gjer (kompetanse, kvalitet, ansvarlegheit, nyskaping og god design) så er det stor sannsynlegheit for at dei vil kunne lukkast i ei stadig meir globalisert verd. Der forbrukarane vert stadig meir bevisste og ser si rolle i det store biletet.  </w:t>
      </w:r>
    </w:p>
    <w:p w:rsidR="001B22C2" w:rsidRDefault="001B22C2" w:rsidP="00420BE8"/>
    <w:p w:rsidR="00BA0D60" w:rsidRPr="00BA0D60" w:rsidRDefault="00BA0D60">
      <w:pPr>
        <w:rPr>
          <w:b/>
          <w:sz w:val="32"/>
        </w:rPr>
      </w:pPr>
      <w:r w:rsidRPr="00BA0D60">
        <w:rPr>
          <w:b/>
          <w:sz w:val="32"/>
        </w:rPr>
        <w:t>Kjelde:</w:t>
      </w:r>
    </w:p>
    <w:p w:rsidR="00BA0D60" w:rsidRDefault="00BA0D60"/>
    <w:p w:rsidR="00BA0D60" w:rsidRPr="00BA0D60" w:rsidRDefault="00BA0D60">
      <w:pPr>
        <w:rPr>
          <w:i/>
        </w:rPr>
      </w:pPr>
      <w:r w:rsidRPr="00BA0D60">
        <w:rPr>
          <w:i/>
        </w:rPr>
        <w:t xml:space="preserve">Læreboka: </w:t>
      </w:r>
    </w:p>
    <w:p w:rsidR="00BA0D60" w:rsidRDefault="00BA0D60" w:rsidP="00BA0D60">
      <w:pPr>
        <w:rPr>
          <w:lang w:val="nb-NO"/>
        </w:rPr>
      </w:pPr>
      <w:r>
        <w:rPr>
          <w:lang w:val="nb-NO"/>
        </w:rPr>
        <w:t>Økonomi og Ledelse, Ottesen m. fl., Bergen 08</w:t>
      </w:r>
    </w:p>
    <w:p w:rsidR="00BA0D60" w:rsidRDefault="00BA0D60"/>
    <w:p w:rsidR="00BA0D60" w:rsidRPr="00BA0D60" w:rsidRDefault="00BA0D60">
      <w:pPr>
        <w:rPr>
          <w:i/>
        </w:rPr>
      </w:pPr>
      <w:r w:rsidRPr="00BA0D60">
        <w:rPr>
          <w:i/>
        </w:rPr>
        <w:t xml:space="preserve">Nettside: </w:t>
      </w:r>
    </w:p>
    <w:p w:rsidR="001B22C2" w:rsidRDefault="001B22C2" w:rsidP="001B22C2">
      <w:hyperlink r:id="rId26" w:history="1">
        <w:r w:rsidRPr="00DF5348">
          <w:rPr>
            <w:rStyle w:val="Hyperkobling"/>
          </w:rPr>
          <w:t>http://oleana.no/html/nyheter.html</w:t>
        </w:r>
      </w:hyperlink>
    </w:p>
    <w:p w:rsidR="001B22C2" w:rsidRDefault="001B22C2" w:rsidP="001B22C2"/>
    <w:p w:rsidR="001B22C2" w:rsidRDefault="001B22C2" w:rsidP="001B22C2">
      <w:hyperlink r:id="rId27" w:history="1">
        <w:r w:rsidRPr="00DF5348">
          <w:rPr>
            <w:rStyle w:val="Hyperkobling"/>
          </w:rPr>
          <w:t>http://oleana.no/html/filosofi.html</w:t>
        </w:r>
      </w:hyperlink>
    </w:p>
    <w:p w:rsidR="001B22C2" w:rsidRDefault="001B22C2" w:rsidP="001B22C2"/>
    <w:p w:rsidR="001B22C2" w:rsidRDefault="001B22C2" w:rsidP="001B22C2">
      <w:hyperlink r:id="rId28" w:history="1">
        <w:r w:rsidRPr="00DF5348">
          <w:rPr>
            <w:rStyle w:val="Hyperkobling"/>
          </w:rPr>
          <w:t>http://oleana.no/html/materialer.html</w:t>
        </w:r>
      </w:hyperlink>
    </w:p>
    <w:p w:rsidR="001B22C2" w:rsidRDefault="001B22C2" w:rsidP="001B22C2"/>
    <w:p w:rsidR="001B22C2" w:rsidRDefault="001B22C2" w:rsidP="001B22C2">
      <w:hyperlink r:id="rId29" w:history="1">
        <w:r w:rsidRPr="00DF5348">
          <w:rPr>
            <w:rStyle w:val="Hyperkobling"/>
          </w:rPr>
          <w:t>http://oleana.no/html/utmerkelser.html</w:t>
        </w:r>
      </w:hyperlink>
    </w:p>
    <w:p w:rsidR="001B22C2" w:rsidRDefault="001B22C2" w:rsidP="001B22C2"/>
    <w:p w:rsidR="00A62A90" w:rsidRPr="00A62A90" w:rsidRDefault="00A62A90">
      <w:pPr>
        <w:rPr>
          <w:b/>
          <w:sz w:val="32"/>
        </w:rPr>
      </w:pPr>
    </w:p>
    <w:sectPr w:rsidR="00A62A90" w:rsidRPr="00A62A90" w:rsidSect="00660394">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409C2" w:rsidRDefault="00D409C2" w:rsidP="00BA0D60">
      <w:r>
        <w:separator/>
      </w:r>
    </w:p>
  </w:endnote>
  <w:endnote w:type="continuationSeparator" w:id="1">
    <w:p w:rsidR="00D409C2" w:rsidRDefault="00D409C2" w:rsidP="00BA0D6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A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409C2" w:rsidRDefault="00D409C2" w:rsidP="00BA0D60">
      <w:r>
        <w:separator/>
      </w:r>
    </w:p>
  </w:footnote>
  <w:footnote w:type="continuationSeparator" w:id="1">
    <w:p w:rsidR="00D409C2" w:rsidRDefault="00D409C2" w:rsidP="00BA0D60">
      <w:r>
        <w:continuationSeparator/>
      </w:r>
    </w:p>
  </w:footnote>
  <w:footnote w:id="2">
    <w:p w:rsidR="00947949" w:rsidRPr="00947949" w:rsidRDefault="00947949">
      <w:pPr>
        <w:pStyle w:val="Fotnotetekst"/>
        <w:rPr>
          <w:lang w:val="nb-NO"/>
        </w:rPr>
      </w:pPr>
      <w:r>
        <w:rPr>
          <w:rStyle w:val="Fotnotereferanse"/>
        </w:rPr>
        <w:footnoteRef/>
      </w:r>
      <w:r>
        <w:t xml:space="preserve"> </w:t>
      </w:r>
      <w:r>
        <w:rPr>
          <w:lang w:val="nb-NO"/>
        </w:rPr>
        <w:t xml:space="preserve">Prisen bør nok kanskje vere litt over, slik at dei får dekningsbidrag også. Men teorien er at den aller lågaste prisen ein kan ta i lågsesong med låg etterspurnad, er den som dekkjer alle dei variable kostnadane. </w:t>
      </w:r>
    </w:p>
  </w:footnote>
  <w:footnote w:id="3">
    <w:p w:rsidR="00C0592A" w:rsidRPr="00C0592A" w:rsidRDefault="00C0592A" w:rsidP="00C0592A">
      <w:pPr>
        <w:rPr>
          <w:sz w:val="20"/>
        </w:rPr>
      </w:pPr>
      <w:r>
        <w:rPr>
          <w:rStyle w:val="Fotnotereferanse"/>
        </w:rPr>
        <w:footnoteRef/>
      </w:r>
      <w:r>
        <w:t xml:space="preserve"> </w:t>
      </w:r>
      <w:r w:rsidRPr="00C0592A">
        <w:rPr>
          <w:sz w:val="20"/>
        </w:rPr>
        <w:t xml:space="preserve">På lang sikt bør dei streve etter eit så optimalt som mogleg overskot. Dette finn ein ved optimal mengd som er 2233.  </w:t>
      </w:r>
    </w:p>
    <w:p w:rsidR="00C0592A" w:rsidRPr="00C0592A" w:rsidRDefault="00C0592A">
      <w:pPr>
        <w:pStyle w:val="Fotnotetekst"/>
        <w:rPr>
          <w:lang w:val="nb-NO"/>
        </w:rPr>
      </w:pPr>
    </w:p>
  </w:footnote>
  <w:footnote w:id="4">
    <w:p w:rsidR="00BA0D60" w:rsidRDefault="00BA0D60" w:rsidP="00BA0D60">
      <w:pPr>
        <w:rPr>
          <w:lang w:val="nb-NO"/>
        </w:rPr>
      </w:pPr>
      <w:r>
        <w:rPr>
          <w:rStyle w:val="Fotnotereferanse"/>
        </w:rPr>
        <w:footnoteRef/>
      </w:r>
      <w:r>
        <w:t xml:space="preserve"> ”</w:t>
      </w:r>
      <w:r>
        <w:rPr>
          <w:lang w:val="nb-NO"/>
        </w:rPr>
        <w:t>Om lag halvparten av omløpsmidlene bør være finansiert med langsiktig kapital” (Økonomi og Ledelse, Ottesen m. fl., s 193,Bergen 08)</w:t>
      </w:r>
    </w:p>
    <w:p w:rsidR="00BA0D60" w:rsidRDefault="00BA0D60" w:rsidP="00BA0D60">
      <w:pPr>
        <w:rPr>
          <w:lang w:val="nb-NO"/>
        </w:rPr>
      </w:pPr>
      <w:r>
        <w:rPr>
          <w:lang w:val="nb-NO"/>
        </w:rPr>
        <w:t>, ”Nye prosjekt bør ha en egenkapitalprosent på rundt 40%” (Økonomi og Ledelse, Ottesen m. fl., s 192,Bergen 08)</w:t>
      </w:r>
    </w:p>
    <w:p w:rsidR="00BA0D60" w:rsidRPr="00BA0D60" w:rsidRDefault="00BA0D60">
      <w:pPr>
        <w:pStyle w:val="Fotnotetekst"/>
        <w:rPr>
          <w:lang w:val="nb-NO"/>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3A012B8"/>
    <w:multiLevelType w:val="hybridMultilevel"/>
    <w:tmpl w:val="7E644C16"/>
    <w:lvl w:ilvl="0" w:tplc="D6480ED6">
      <w:start w:val="8"/>
      <w:numFmt w:val="decimal"/>
      <w:lvlText w:val="%1"/>
      <w:lvlJc w:val="left"/>
      <w:pPr>
        <w:tabs>
          <w:tab w:val="num" w:pos="720"/>
        </w:tabs>
        <w:ind w:left="720" w:hanging="360"/>
      </w:pPr>
      <w:rPr>
        <w:rFonts w:hint="default"/>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1">
    <w:nsid w:val="5776002E"/>
    <w:multiLevelType w:val="hybridMultilevel"/>
    <w:tmpl w:val="4534323E"/>
    <w:lvl w:ilvl="0" w:tplc="E5384AEA">
      <w:start w:val="1"/>
      <w:numFmt w:val="bullet"/>
      <w:lvlText w:val="-"/>
      <w:lvlJc w:val="left"/>
      <w:pPr>
        <w:tabs>
          <w:tab w:val="num" w:pos="787"/>
        </w:tabs>
        <w:ind w:left="787" w:hanging="360"/>
      </w:pPr>
      <w:rPr>
        <w:rFonts w:ascii="Times New Roman" w:eastAsia="Times New Roman" w:hAnsi="Times New Roman" w:cs="Times New Roman" w:hint="default"/>
      </w:rPr>
    </w:lvl>
    <w:lvl w:ilvl="1" w:tplc="04140003" w:tentative="1">
      <w:start w:val="1"/>
      <w:numFmt w:val="bullet"/>
      <w:lvlText w:val="o"/>
      <w:lvlJc w:val="left"/>
      <w:pPr>
        <w:tabs>
          <w:tab w:val="num" w:pos="1507"/>
        </w:tabs>
        <w:ind w:left="1507" w:hanging="360"/>
      </w:pPr>
      <w:rPr>
        <w:rFonts w:ascii="Courier New" w:hAnsi="Courier New" w:cs="Courier New" w:hint="default"/>
      </w:rPr>
    </w:lvl>
    <w:lvl w:ilvl="2" w:tplc="04140005" w:tentative="1">
      <w:start w:val="1"/>
      <w:numFmt w:val="bullet"/>
      <w:lvlText w:val=""/>
      <w:lvlJc w:val="left"/>
      <w:pPr>
        <w:tabs>
          <w:tab w:val="num" w:pos="2227"/>
        </w:tabs>
        <w:ind w:left="2227" w:hanging="360"/>
      </w:pPr>
      <w:rPr>
        <w:rFonts w:ascii="Wingdings" w:hAnsi="Wingdings" w:hint="default"/>
      </w:rPr>
    </w:lvl>
    <w:lvl w:ilvl="3" w:tplc="04140001" w:tentative="1">
      <w:start w:val="1"/>
      <w:numFmt w:val="bullet"/>
      <w:lvlText w:val=""/>
      <w:lvlJc w:val="left"/>
      <w:pPr>
        <w:tabs>
          <w:tab w:val="num" w:pos="2947"/>
        </w:tabs>
        <w:ind w:left="2947" w:hanging="360"/>
      </w:pPr>
      <w:rPr>
        <w:rFonts w:ascii="Symbol" w:hAnsi="Symbol" w:hint="default"/>
      </w:rPr>
    </w:lvl>
    <w:lvl w:ilvl="4" w:tplc="04140003" w:tentative="1">
      <w:start w:val="1"/>
      <w:numFmt w:val="bullet"/>
      <w:lvlText w:val="o"/>
      <w:lvlJc w:val="left"/>
      <w:pPr>
        <w:tabs>
          <w:tab w:val="num" w:pos="3667"/>
        </w:tabs>
        <w:ind w:left="3667" w:hanging="360"/>
      </w:pPr>
      <w:rPr>
        <w:rFonts w:ascii="Courier New" w:hAnsi="Courier New" w:cs="Courier New" w:hint="default"/>
      </w:rPr>
    </w:lvl>
    <w:lvl w:ilvl="5" w:tplc="04140005" w:tentative="1">
      <w:start w:val="1"/>
      <w:numFmt w:val="bullet"/>
      <w:lvlText w:val=""/>
      <w:lvlJc w:val="left"/>
      <w:pPr>
        <w:tabs>
          <w:tab w:val="num" w:pos="4387"/>
        </w:tabs>
        <w:ind w:left="4387" w:hanging="360"/>
      </w:pPr>
      <w:rPr>
        <w:rFonts w:ascii="Wingdings" w:hAnsi="Wingdings" w:hint="default"/>
      </w:rPr>
    </w:lvl>
    <w:lvl w:ilvl="6" w:tplc="04140001" w:tentative="1">
      <w:start w:val="1"/>
      <w:numFmt w:val="bullet"/>
      <w:lvlText w:val=""/>
      <w:lvlJc w:val="left"/>
      <w:pPr>
        <w:tabs>
          <w:tab w:val="num" w:pos="5107"/>
        </w:tabs>
        <w:ind w:left="5107" w:hanging="360"/>
      </w:pPr>
      <w:rPr>
        <w:rFonts w:ascii="Symbol" w:hAnsi="Symbol" w:hint="default"/>
      </w:rPr>
    </w:lvl>
    <w:lvl w:ilvl="7" w:tplc="04140003" w:tentative="1">
      <w:start w:val="1"/>
      <w:numFmt w:val="bullet"/>
      <w:lvlText w:val="o"/>
      <w:lvlJc w:val="left"/>
      <w:pPr>
        <w:tabs>
          <w:tab w:val="num" w:pos="5827"/>
        </w:tabs>
        <w:ind w:left="5827" w:hanging="360"/>
      </w:pPr>
      <w:rPr>
        <w:rFonts w:ascii="Courier New" w:hAnsi="Courier New" w:cs="Courier New" w:hint="default"/>
      </w:rPr>
    </w:lvl>
    <w:lvl w:ilvl="8" w:tplc="04140005" w:tentative="1">
      <w:start w:val="1"/>
      <w:numFmt w:val="bullet"/>
      <w:lvlText w:val=""/>
      <w:lvlJc w:val="left"/>
      <w:pPr>
        <w:tabs>
          <w:tab w:val="num" w:pos="6547"/>
        </w:tabs>
        <w:ind w:left="6547"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A62A90"/>
    <w:rsid w:val="00006FB7"/>
    <w:rsid w:val="000358BC"/>
    <w:rsid w:val="00035976"/>
    <w:rsid w:val="000459BB"/>
    <w:rsid w:val="000A3AA9"/>
    <w:rsid w:val="000D05CF"/>
    <w:rsid w:val="000D559D"/>
    <w:rsid w:val="000E388C"/>
    <w:rsid w:val="00116EDC"/>
    <w:rsid w:val="001203F3"/>
    <w:rsid w:val="00167A14"/>
    <w:rsid w:val="00181452"/>
    <w:rsid w:val="001B0D2F"/>
    <w:rsid w:val="001B22C2"/>
    <w:rsid w:val="00201E50"/>
    <w:rsid w:val="00227934"/>
    <w:rsid w:val="002428A1"/>
    <w:rsid w:val="00273D10"/>
    <w:rsid w:val="00274887"/>
    <w:rsid w:val="002770C8"/>
    <w:rsid w:val="002A0956"/>
    <w:rsid w:val="002A5514"/>
    <w:rsid w:val="002B10F0"/>
    <w:rsid w:val="002D7DD9"/>
    <w:rsid w:val="002E6F7C"/>
    <w:rsid w:val="00304D4F"/>
    <w:rsid w:val="0034423C"/>
    <w:rsid w:val="00356035"/>
    <w:rsid w:val="00374590"/>
    <w:rsid w:val="00387D8F"/>
    <w:rsid w:val="00394AE0"/>
    <w:rsid w:val="003A4B19"/>
    <w:rsid w:val="003D1B15"/>
    <w:rsid w:val="00401593"/>
    <w:rsid w:val="00420BE8"/>
    <w:rsid w:val="004461C0"/>
    <w:rsid w:val="004572C3"/>
    <w:rsid w:val="00494915"/>
    <w:rsid w:val="004A5DD4"/>
    <w:rsid w:val="004A7954"/>
    <w:rsid w:val="004B47B1"/>
    <w:rsid w:val="004C05B5"/>
    <w:rsid w:val="004C2BB6"/>
    <w:rsid w:val="004C57FC"/>
    <w:rsid w:val="004D57F0"/>
    <w:rsid w:val="004D68BE"/>
    <w:rsid w:val="004F4492"/>
    <w:rsid w:val="004F590F"/>
    <w:rsid w:val="004F6BCB"/>
    <w:rsid w:val="004F7FED"/>
    <w:rsid w:val="005032A6"/>
    <w:rsid w:val="005128E4"/>
    <w:rsid w:val="005133FC"/>
    <w:rsid w:val="0052140A"/>
    <w:rsid w:val="00554FDF"/>
    <w:rsid w:val="00560BBA"/>
    <w:rsid w:val="005A1CF5"/>
    <w:rsid w:val="005A48C4"/>
    <w:rsid w:val="005B6DBB"/>
    <w:rsid w:val="005D0B62"/>
    <w:rsid w:val="0061410A"/>
    <w:rsid w:val="006302DB"/>
    <w:rsid w:val="006312DC"/>
    <w:rsid w:val="00631A93"/>
    <w:rsid w:val="00660394"/>
    <w:rsid w:val="00663DD9"/>
    <w:rsid w:val="006911CC"/>
    <w:rsid w:val="006A0914"/>
    <w:rsid w:val="006B312D"/>
    <w:rsid w:val="006C3286"/>
    <w:rsid w:val="00724CDD"/>
    <w:rsid w:val="0078631C"/>
    <w:rsid w:val="007B3447"/>
    <w:rsid w:val="007B7F22"/>
    <w:rsid w:val="007D0605"/>
    <w:rsid w:val="007E082F"/>
    <w:rsid w:val="007E5ACE"/>
    <w:rsid w:val="00825050"/>
    <w:rsid w:val="008341D6"/>
    <w:rsid w:val="00867CA5"/>
    <w:rsid w:val="0087091D"/>
    <w:rsid w:val="00887A80"/>
    <w:rsid w:val="00891769"/>
    <w:rsid w:val="008922A4"/>
    <w:rsid w:val="008A1529"/>
    <w:rsid w:val="008B7318"/>
    <w:rsid w:val="008D701C"/>
    <w:rsid w:val="008E2671"/>
    <w:rsid w:val="008E58F1"/>
    <w:rsid w:val="008F1A0F"/>
    <w:rsid w:val="008F4184"/>
    <w:rsid w:val="009007A0"/>
    <w:rsid w:val="009262F3"/>
    <w:rsid w:val="00931C95"/>
    <w:rsid w:val="0094224C"/>
    <w:rsid w:val="00947949"/>
    <w:rsid w:val="009514A4"/>
    <w:rsid w:val="009516ED"/>
    <w:rsid w:val="00952A04"/>
    <w:rsid w:val="009B2EB8"/>
    <w:rsid w:val="009C3066"/>
    <w:rsid w:val="009D709C"/>
    <w:rsid w:val="009E25C8"/>
    <w:rsid w:val="00A02326"/>
    <w:rsid w:val="00A03A8D"/>
    <w:rsid w:val="00A440C5"/>
    <w:rsid w:val="00A452E7"/>
    <w:rsid w:val="00A47B66"/>
    <w:rsid w:val="00A52CC9"/>
    <w:rsid w:val="00A620F7"/>
    <w:rsid w:val="00A62A90"/>
    <w:rsid w:val="00A865C9"/>
    <w:rsid w:val="00AA70AC"/>
    <w:rsid w:val="00AC2A05"/>
    <w:rsid w:val="00B002B4"/>
    <w:rsid w:val="00B47196"/>
    <w:rsid w:val="00B50B2F"/>
    <w:rsid w:val="00B82118"/>
    <w:rsid w:val="00B96BBB"/>
    <w:rsid w:val="00BA0D60"/>
    <w:rsid w:val="00BA3E8D"/>
    <w:rsid w:val="00BB6FEC"/>
    <w:rsid w:val="00BB7980"/>
    <w:rsid w:val="00BD69E9"/>
    <w:rsid w:val="00BE29AA"/>
    <w:rsid w:val="00BF2366"/>
    <w:rsid w:val="00C0592A"/>
    <w:rsid w:val="00C206DB"/>
    <w:rsid w:val="00C477C4"/>
    <w:rsid w:val="00C607D6"/>
    <w:rsid w:val="00C64415"/>
    <w:rsid w:val="00CB2BCD"/>
    <w:rsid w:val="00CB5E09"/>
    <w:rsid w:val="00CC3AB8"/>
    <w:rsid w:val="00CD0813"/>
    <w:rsid w:val="00D21343"/>
    <w:rsid w:val="00D25932"/>
    <w:rsid w:val="00D409C2"/>
    <w:rsid w:val="00D518DA"/>
    <w:rsid w:val="00D708B1"/>
    <w:rsid w:val="00DE5CC2"/>
    <w:rsid w:val="00E045BD"/>
    <w:rsid w:val="00E273DD"/>
    <w:rsid w:val="00E7207E"/>
    <w:rsid w:val="00EB0B26"/>
    <w:rsid w:val="00ED03D0"/>
    <w:rsid w:val="00ED1907"/>
    <w:rsid w:val="00ED652F"/>
    <w:rsid w:val="00EE5512"/>
    <w:rsid w:val="00F04E47"/>
    <w:rsid w:val="00F169F7"/>
    <w:rsid w:val="00F35344"/>
    <w:rsid w:val="00F509D4"/>
    <w:rsid w:val="00F523B4"/>
    <w:rsid w:val="00F623BA"/>
    <w:rsid w:val="00F7527A"/>
    <w:rsid w:val="00FA5DDF"/>
    <w:rsid w:val="00FB27B2"/>
    <w:rsid w:val="00FE1AEE"/>
  </w:rsids>
  <m:mathPr>
    <m:mathFont m:val="Cambria Math"/>
    <m:brkBin m:val="before"/>
    <m:brkBinSub m:val="--"/>
    <m:smallFrac m:val="off"/>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2" type="connector" idref="#_x0000_s1026"/>
        <o:r id="V:Rule4" type="connector" idref="#_x0000_s1027"/>
        <o:r id="V:Rule6" type="connector" idref="#_x0000_s1028"/>
        <o:r id="V:Rule8" type="connector" idref="#_x0000_s1029"/>
        <o:r id="V:Rule12" type="connector" idref="#_x0000_s1032"/>
        <o:r id="V:Rule14" type="connector" idref="#_x0000_s1033"/>
        <o:r id="V:Rule16" type="connector" idref="#_x0000_s1034"/>
        <o:r id="V:Rule18" type="connector" idref="#_x0000_s1035"/>
        <o:r id="V:Rule20" type="connector" idref="#_x0000_s1036"/>
        <o:r id="V:Rule24" type="connector" idref="#_x0000_s1039"/>
        <o:r id="V:Rule26" type="connector" idref="#_x0000_s104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b-NO"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0394"/>
    <w:rPr>
      <w:lang w:val="nn-NO"/>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qFormat/>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Bobletekst">
    <w:name w:val="Balloon Text"/>
    <w:basedOn w:val="Normal"/>
    <w:link w:val="BobletekstTegn"/>
    <w:uiPriority w:val="99"/>
    <w:semiHidden/>
    <w:unhideWhenUsed/>
    <w:rsid w:val="000358BC"/>
    <w:rPr>
      <w:rFonts w:ascii="Tahoma" w:hAnsi="Tahoma" w:cs="Tahoma"/>
      <w:sz w:val="16"/>
      <w:szCs w:val="16"/>
    </w:rPr>
  </w:style>
  <w:style w:type="character" w:customStyle="1" w:styleId="BobletekstTegn">
    <w:name w:val="Bobletekst Tegn"/>
    <w:basedOn w:val="Standardskriftforavsnitt"/>
    <w:link w:val="Bobletekst"/>
    <w:uiPriority w:val="99"/>
    <w:semiHidden/>
    <w:rsid w:val="000358BC"/>
    <w:rPr>
      <w:rFonts w:ascii="Tahoma" w:hAnsi="Tahoma" w:cs="Tahoma"/>
      <w:sz w:val="16"/>
      <w:szCs w:val="16"/>
      <w:lang w:val="nn-NO"/>
    </w:rPr>
  </w:style>
  <w:style w:type="paragraph" w:styleId="Fotnotetekst">
    <w:name w:val="footnote text"/>
    <w:basedOn w:val="Normal"/>
    <w:link w:val="FotnotetekstTegn"/>
    <w:uiPriority w:val="99"/>
    <w:semiHidden/>
    <w:unhideWhenUsed/>
    <w:rsid w:val="00BA0D60"/>
    <w:rPr>
      <w:sz w:val="20"/>
      <w:szCs w:val="20"/>
    </w:rPr>
  </w:style>
  <w:style w:type="character" w:customStyle="1" w:styleId="FotnotetekstTegn">
    <w:name w:val="Fotnotetekst Tegn"/>
    <w:basedOn w:val="Standardskriftforavsnitt"/>
    <w:link w:val="Fotnotetekst"/>
    <w:uiPriority w:val="99"/>
    <w:semiHidden/>
    <w:rsid w:val="00BA0D60"/>
    <w:rPr>
      <w:sz w:val="20"/>
      <w:szCs w:val="20"/>
      <w:lang w:val="nn-NO"/>
    </w:rPr>
  </w:style>
  <w:style w:type="character" w:styleId="Fotnotereferanse">
    <w:name w:val="footnote reference"/>
    <w:basedOn w:val="Standardskriftforavsnitt"/>
    <w:uiPriority w:val="99"/>
    <w:semiHidden/>
    <w:unhideWhenUsed/>
    <w:rsid w:val="00BA0D60"/>
    <w:rPr>
      <w:vertAlign w:val="superscript"/>
    </w:rPr>
  </w:style>
  <w:style w:type="paragraph" w:customStyle="1" w:styleId="normaltekst">
    <w:name w:val="normaltekst"/>
    <w:rsid w:val="007E082F"/>
    <w:pPr>
      <w:widowControl w:val="0"/>
      <w:autoSpaceDE w:val="0"/>
      <w:autoSpaceDN w:val="0"/>
      <w:adjustRightInd w:val="0"/>
      <w:spacing w:after="160" w:line="260" w:lineRule="atLeast"/>
    </w:pPr>
    <w:rPr>
      <w:rFonts w:ascii="Times New Roman" w:eastAsia="Times New Roman" w:hAnsi="Times New Roman" w:cs="Times New Roman"/>
      <w:lang w:eastAsia="nb-NO"/>
    </w:rPr>
  </w:style>
  <w:style w:type="paragraph" w:customStyle="1" w:styleId="innrykk6mmtab">
    <w:name w:val="innrykk 6mm+tab"/>
    <w:rsid w:val="007E082F"/>
    <w:pPr>
      <w:widowControl w:val="0"/>
      <w:tabs>
        <w:tab w:val="left" w:pos="340"/>
      </w:tabs>
      <w:autoSpaceDE w:val="0"/>
      <w:autoSpaceDN w:val="0"/>
      <w:adjustRightInd w:val="0"/>
      <w:spacing w:after="160" w:line="260" w:lineRule="atLeast"/>
      <w:ind w:left="340" w:right="340" w:hanging="340"/>
    </w:pPr>
    <w:rPr>
      <w:rFonts w:ascii="Times New Roman" w:eastAsia="Times New Roman" w:hAnsi="Times New Roman" w:cs="Times New Roman"/>
      <w:lang w:eastAsia="nb-NO"/>
    </w:rPr>
  </w:style>
  <w:style w:type="character" w:styleId="Hyperkobling">
    <w:name w:val="Hyperlink"/>
    <w:basedOn w:val="Standardskriftforavsnitt"/>
    <w:uiPriority w:val="99"/>
    <w:unhideWhenUsed/>
    <w:rsid w:val="004461C0"/>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28919340">
      <w:bodyDiv w:val="1"/>
      <w:marLeft w:val="0"/>
      <w:marRight w:val="0"/>
      <w:marTop w:val="0"/>
      <w:marBottom w:val="0"/>
      <w:divBdr>
        <w:top w:val="none" w:sz="0" w:space="0" w:color="auto"/>
        <w:left w:val="none" w:sz="0" w:space="0" w:color="auto"/>
        <w:bottom w:val="none" w:sz="0" w:space="0" w:color="auto"/>
        <w:right w:val="none" w:sz="0" w:space="0" w:color="auto"/>
      </w:divBdr>
    </w:div>
    <w:div w:id="456484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hyperlink" Target="http://oleana.no/html/nyheter.html" TargetMode="External"/><Relationship Id="rId3" Type="http://schemas.openxmlformats.org/officeDocument/2006/relationships/styles" Target="styles.xml"/><Relationship Id="rId21" Type="http://schemas.openxmlformats.org/officeDocument/2006/relationships/image" Target="media/image9.jpeg"/><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image" Target="media/image6.png"/><Relationship Id="rId25" Type="http://schemas.openxmlformats.org/officeDocument/2006/relationships/image" Target="media/image13.jpe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hyperlink" Target="http://oleana.no/html/filosofi.html" TargetMode="External"/><Relationship Id="rId29" Type="http://schemas.openxmlformats.org/officeDocument/2006/relationships/hyperlink" Target="http://oleana.no/html/utmerkelser.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image" Target="media/image12.jpeg"/><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1.jpeg"/><Relationship Id="rId28" Type="http://schemas.openxmlformats.org/officeDocument/2006/relationships/hyperlink" Target="http://oleana.no/html/materialer.html" TargetMode="External"/><Relationship Id="rId10" Type="http://schemas.openxmlformats.org/officeDocument/2006/relationships/image" Target="media/image1.png"/><Relationship Id="rId19" Type="http://schemas.openxmlformats.org/officeDocument/2006/relationships/image" Target="media/image8.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image" Target="media/image3.png"/><Relationship Id="rId22" Type="http://schemas.openxmlformats.org/officeDocument/2006/relationships/image" Target="media/image10.jpeg"/><Relationship Id="rId27" Type="http://schemas.openxmlformats.org/officeDocument/2006/relationships/hyperlink" Target="http://oleana.no/html/filosofi.html" TargetMode="Externa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helge\Documents\Skule\Skuledokument%20VG3,%2008-09\&#216;konomi%20og%20leiing\Eksamen\Modellar\marked_ol.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helge\Documents\Skule\Skuledokument%20VG3,%2008-09\&#216;konomi%20og%20leiing\Eksamen\Modellar\marked_ol.xls"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helge\Documents\Skule\Skuledokument%20VG3,%2008-09\&#216;konomi%20og%20leiing\Eksamen\Modellar\marked_ol.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helge\Documents\Skule\Skuledokument%20VG3,%2008-09\&#216;konomi%20og%20leiing\Eksamen\Modellar\marked_ol.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nb-NO"/>
  <c:chart>
    <c:title>
      <c:tx>
        <c:rich>
          <a:bodyPr/>
          <a:lstStyle/>
          <a:p>
            <a:pPr>
              <a:defRPr sz="1175" b="1" i="0" u="none" strike="noStrike" baseline="0">
                <a:solidFill>
                  <a:srgbClr val="000000"/>
                </a:solidFill>
                <a:latin typeface="Times New Roman"/>
                <a:ea typeface="Times New Roman"/>
                <a:cs typeface="Times New Roman"/>
              </a:defRPr>
            </a:pPr>
            <a:r>
              <a:rPr lang="nb-NO"/>
              <a:t>Enhetsdiagram</a:t>
            </a:r>
          </a:p>
        </c:rich>
      </c:tx>
      <c:layout>
        <c:manualLayout>
          <c:xMode val="edge"/>
          <c:yMode val="edge"/>
          <c:x val="0.40535714285714286"/>
          <c:y val="6.9348174565067077E-3"/>
        </c:manualLayout>
      </c:layout>
      <c:spPr>
        <a:noFill/>
        <a:ln w="25400">
          <a:noFill/>
        </a:ln>
      </c:spPr>
    </c:title>
    <c:plotArea>
      <c:layout>
        <c:manualLayout>
          <c:layoutTarget val="inner"/>
          <c:xMode val="edge"/>
          <c:yMode val="edge"/>
          <c:x val="8.5714285714285715E-2"/>
          <c:y val="0.16227472848225688"/>
          <c:w val="0.83750000000000002"/>
          <c:h val="0.7461863583201217"/>
        </c:manualLayout>
      </c:layout>
      <c:scatterChart>
        <c:scatterStyle val="smoothMarker"/>
        <c:ser>
          <c:idx val="0"/>
          <c:order val="0"/>
          <c:spPr>
            <a:ln w="3175">
              <a:solidFill>
                <a:srgbClr val="000080"/>
              </a:solidFill>
              <a:prstDash val="solid"/>
            </a:ln>
          </c:spPr>
          <c:marker>
            <c:symbol val="none"/>
          </c:marker>
          <c:dLbls>
            <c:dLbl>
              <c:idx val="1"/>
              <c:layout>
                <c:manualLayout>
                  <c:x val="-1.8925542981433029E-2"/>
                  <c:y val="-2.8745169230083793E-2"/>
                </c:manualLayout>
              </c:layout>
              <c:tx>
                <c:strRef>
                  <c:f>Markedstilpasning!$C$83</c:f>
                  <c:strCache>
                    <c:ptCount val="1"/>
                    <c:pt idx="0">
                      <c:v>SEK</c:v>
                    </c:pt>
                  </c:strCache>
                </c:strRef>
              </c:tx>
              <c:spPr>
                <a:noFill/>
                <a:ln w="25400">
                  <a:noFill/>
                </a:ln>
              </c:spPr>
              <c:txPr>
                <a:bodyPr/>
                <a:lstStyle/>
                <a:p>
                  <a:pPr>
                    <a:defRPr sz="725" b="0" i="0" u="none" strike="noStrike" baseline="0">
                      <a:solidFill>
                        <a:srgbClr val="000000"/>
                      </a:solidFill>
                      <a:latin typeface="Times New Roman"/>
                      <a:ea typeface="Times New Roman"/>
                      <a:cs typeface="Times New Roman"/>
                    </a:defRPr>
                  </a:pPr>
                  <a:endParaRPr lang="nb-NO"/>
                </a:p>
              </c:txPr>
              <c:dLblPos val="r"/>
            </c:dLbl>
            <c:delete val="1"/>
          </c:dLbls>
          <c:xVal>
            <c:numRef>
              <c:f>Markedstilpasning!$B$153:$B$172</c:f>
              <c:numCache>
                <c:formatCode>0</c:formatCode>
                <c:ptCount val="16"/>
                <c:pt idx="0">
                  <c:v>200</c:v>
                </c:pt>
                <c:pt idx="1">
                  <c:v>400</c:v>
                </c:pt>
                <c:pt idx="2">
                  <c:v>600</c:v>
                </c:pt>
                <c:pt idx="3">
                  <c:v>800</c:v>
                </c:pt>
                <c:pt idx="4">
                  <c:v>1000</c:v>
                </c:pt>
                <c:pt idx="5">
                  <c:v>1200</c:v>
                </c:pt>
                <c:pt idx="6">
                  <c:v>1400</c:v>
                </c:pt>
                <c:pt idx="7">
                  <c:v>1600</c:v>
                </c:pt>
                <c:pt idx="8">
                  <c:v>1800</c:v>
                </c:pt>
                <c:pt idx="9">
                  <c:v>2000</c:v>
                </c:pt>
                <c:pt idx="10">
                  <c:v>2200</c:v>
                </c:pt>
                <c:pt idx="11">
                  <c:v>2400</c:v>
                </c:pt>
                <c:pt idx="12">
                  <c:v>2600</c:v>
                </c:pt>
                <c:pt idx="13">
                  <c:v>2800</c:v>
                </c:pt>
                <c:pt idx="14">
                  <c:v>3000</c:v>
                </c:pt>
                <c:pt idx="15">
                  <c:v>3200</c:v>
                </c:pt>
              </c:numCache>
            </c:numRef>
          </c:xVal>
          <c:yVal>
            <c:numRef>
              <c:f>Markedstilpasning!$C$153:$C$172</c:f>
              <c:numCache>
                <c:formatCode>0</c:formatCode>
                <c:ptCount val="16"/>
                <c:pt idx="1">
                  <c:v>5425</c:v>
                </c:pt>
                <c:pt idx="3">
                  <c:v>3762.5</c:v>
                </c:pt>
                <c:pt idx="5">
                  <c:v>2908.3333333333348</c:v>
                </c:pt>
                <c:pt idx="7">
                  <c:v>2431.25</c:v>
                </c:pt>
                <c:pt idx="9">
                  <c:v>2225</c:v>
                </c:pt>
                <c:pt idx="11">
                  <c:v>2254.1666666666656</c:v>
                </c:pt>
                <c:pt idx="13">
                  <c:v>2503.5714285714294</c:v>
                </c:pt>
                <c:pt idx="15">
                  <c:v>3165.625</c:v>
                </c:pt>
              </c:numCache>
            </c:numRef>
          </c:yVal>
          <c:smooth val="1"/>
        </c:ser>
        <c:ser>
          <c:idx val="2"/>
          <c:order val="1"/>
          <c:spPr>
            <a:ln w="3175">
              <a:solidFill>
                <a:srgbClr val="008000"/>
              </a:solidFill>
              <a:prstDash val="solid"/>
            </a:ln>
          </c:spPr>
          <c:marker>
            <c:symbol val="none"/>
          </c:marker>
          <c:dLbls>
            <c:dLbl>
              <c:idx val="1"/>
              <c:layout>
                <c:manualLayout>
                  <c:x val="-3.3223416088372121E-2"/>
                  <c:y val="-3.6697739515233876E-2"/>
                </c:manualLayout>
              </c:layout>
              <c:tx>
                <c:strRef>
                  <c:f>Markedstilpasning!$C$86</c:f>
                  <c:strCache>
                    <c:ptCount val="1"/>
                    <c:pt idx="0">
                      <c:v>VEK</c:v>
                    </c:pt>
                  </c:strCache>
                </c:strRef>
              </c:tx>
              <c:spPr>
                <a:noFill/>
                <a:ln w="25400">
                  <a:noFill/>
                </a:ln>
              </c:spPr>
              <c:txPr>
                <a:bodyPr/>
                <a:lstStyle/>
                <a:p>
                  <a:pPr>
                    <a:defRPr sz="725" b="0" i="0" u="none" strike="noStrike" baseline="0">
                      <a:solidFill>
                        <a:srgbClr val="000000"/>
                      </a:solidFill>
                      <a:latin typeface="Times New Roman"/>
                      <a:ea typeface="Times New Roman"/>
                      <a:cs typeface="Times New Roman"/>
                    </a:defRPr>
                  </a:pPr>
                  <a:endParaRPr lang="nb-NO"/>
                </a:p>
              </c:txPr>
              <c:dLblPos val="r"/>
            </c:dLbl>
            <c:delete val="1"/>
          </c:dLbls>
          <c:xVal>
            <c:numRef>
              <c:f>Markedstilpasning!$B$153:$B$172</c:f>
              <c:numCache>
                <c:formatCode>0</c:formatCode>
                <c:ptCount val="16"/>
                <c:pt idx="0">
                  <c:v>200</c:v>
                </c:pt>
                <c:pt idx="1">
                  <c:v>400</c:v>
                </c:pt>
                <c:pt idx="2">
                  <c:v>600</c:v>
                </c:pt>
                <c:pt idx="3">
                  <c:v>800</c:v>
                </c:pt>
                <c:pt idx="4">
                  <c:v>1000</c:v>
                </c:pt>
                <c:pt idx="5">
                  <c:v>1200</c:v>
                </c:pt>
                <c:pt idx="6">
                  <c:v>1400</c:v>
                </c:pt>
                <c:pt idx="7">
                  <c:v>1600</c:v>
                </c:pt>
                <c:pt idx="8">
                  <c:v>1800</c:v>
                </c:pt>
                <c:pt idx="9">
                  <c:v>2000</c:v>
                </c:pt>
                <c:pt idx="10">
                  <c:v>2200</c:v>
                </c:pt>
                <c:pt idx="11">
                  <c:v>2400</c:v>
                </c:pt>
                <c:pt idx="12">
                  <c:v>2600</c:v>
                </c:pt>
                <c:pt idx="13">
                  <c:v>2800</c:v>
                </c:pt>
                <c:pt idx="14">
                  <c:v>3000</c:v>
                </c:pt>
                <c:pt idx="15">
                  <c:v>3200</c:v>
                </c:pt>
              </c:numCache>
            </c:numRef>
          </c:xVal>
          <c:yVal>
            <c:numRef>
              <c:f>Markedstilpasning!$E$153:$E$172</c:f>
              <c:numCache>
                <c:formatCode>0</c:formatCode>
                <c:ptCount val="16"/>
                <c:pt idx="1">
                  <c:v>3300</c:v>
                </c:pt>
                <c:pt idx="3">
                  <c:v>2700</c:v>
                </c:pt>
                <c:pt idx="5">
                  <c:v>2200</c:v>
                </c:pt>
                <c:pt idx="7">
                  <c:v>1900</c:v>
                </c:pt>
                <c:pt idx="9">
                  <c:v>1800</c:v>
                </c:pt>
                <c:pt idx="11">
                  <c:v>1900</c:v>
                </c:pt>
                <c:pt idx="13">
                  <c:v>2200</c:v>
                </c:pt>
                <c:pt idx="15">
                  <c:v>2900</c:v>
                </c:pt>
              </c:numCache>
            </c:numRef>
          </c:yVal>
          <c:smooth val="1"/>
        </c:ser>
        <c:ser>
          <c:idx val="3"/>
          <c:order val="2"/>
          <c:spPr>
            <a:ln w="3175">
              <a:solidFill>
                <a:srgbClr val="008000"/>
              </a:solidFill>
              <a:prstDash val="sysDash"/>
            </a:ln>
          </c:spPr>
          <c:marker>
            <c:symbol val="none"/>
          </c:marker>
          <c:xVal>
            <c:numRef>
              <c:f>Markedstilpasning!$B$152:$B$172</c:f>
              <c:numCache>
                <c:formatCode>0</c:formatCode>
                <c:ptCount val="17"/>
                <c:pt idx="0">
                  <c:v>0</c:v>
                </c:pt>
                <c:pt idx="1">
                  <c:v>200</c:v>
                </c:pt>
                <c:pt idx="2">
                  <c:v>400</c:v>
                </c:pt>
                <c:pt idx="3">
                  <c:v>600</c:v>
                </c:pt>
                <c:pt idx="4">
                  <c:v>800</c:v>
                </c:pt>
                <c:pt idx="5">
                  <c:v>1000</c:v>
                </c:pt>
                <c:pt idx="6">
                  <c:v>1200</c:v>
                </c:pt>
                <c:pt idx="7">
                  <c:v>1400</c:v>
                </c:pt>
                <c:pt idx="8">
                  <c:v>1600</c:v>
                </c:pt>
                <c:pt idx="9">
                  <c:v>1800</c:v>
                </c:pt>
                <c:pt idx="10">
                  <c:v>2000</c:v>
                </c:pt>
                <c:pt idx="11">
                  <c:v>2200</c:v>
                </c:pt>
                <c:pt idx="12">
                  <c:v>2400</c:v>
                </c:pt>
                <c:pt idx="13">
                  <c:v>2600</c:v>
                </c:pt>
                <c:pt idx="14">
                  <c:v>2800</c:v>
                </c:pt>
                <c:pt idx="15">
                  <c:v>3000</c:v>
                </c:pt>
                <c:pt idx="16">
                  <c:v>3200</c:v>
                </c:pt>
              </c:numCache>
            </c:numRef>
          </c:xVal>
          <c:yVal>
            <c:numRef>
              <c:f>Markedstilpasning!$F$152:$F$172</c:f>
              <c:numCache>
                <c:formatCode>General</c:formatCode>
                <c:ptCount val="17"/>
                <c:pt idx="2" formatCode="0">
                  <c:v>0</c:v>
                </c:pt>
                <c:pt idx="4" formatCode="0">
                  <c:v>0</c:v>
                </c:pt>
                <c:pt idx="6" formatCode="0">
                  <c:v>0</c:v>
                </c:pt>
                <c:pt idx="8" formatCode="0">
                  <c:v>0</c:v>
                </c:pt>
                <c:pt idx="10" formatCode="0">
                  <c:v>0</c:v>
                </c:pt>
                <c:pt idx="12" formatCode="0">
                  <c:v>0</c:v>
                </c:pt>
                <c:pt idx="14" formatCode="0">
                  <c:v>0</c:v>
                </c:pt>
                <c:pt idx="16" formatCode="0">
                  <c:v>0</c:v>
                </c:pt>
              </c:numCache>
            </c:numRef>
          </c:yVal>
          <c:smooth val="1"/>
        </c:ser>
        <c:ser>
          <c:idx val="4"/>
          <c:order val="3"/>
          <c:spPr>
            <a:ln w="3175">
              <a:solidFill>
                <a:srgbClr val="000000"/>
              </a:solidFill>
              <a:prstDash val="solid"/>
            </a:ln>
          </c:spPr>
          <c:marker>
            <c:symbol val="none"/>
          </c:marker>
          <c:dLbls>
            <c:dLbl>
              <c:idx val="0"/>
              <c:layout>
                <c:manualLayout>
                  <c:x val="-4.4940729499251708E-2"/>
                  <c:y val="-2.9085522725500901E-2"/>
                </c:manualLayout>
              </c:layout>
              <c:tx>
                <c:strRef>
                  <c:f>Markedstilpasning!$C$87</c:f>
                  <c:strCache>
                    <c:ptCount val="1"/>
                    <c:pt idx="0">
                      <c:v>DEK</c:v>
                    </c:pt>
                  </c:strCache>
                </c:strRef>
              </c:tx>
              <c:spPr>
                <a:noFill/>
                <a:ln w="25400">
                  <a:noFill/>
                </a:ln>
              </c:spPr>
              <c:txPr>
                <a:bodyPr/>
                <a:lstStyle/>
                <a:p>
                  <a:pPr>
                    <a:defRPr sz="725" b="0" i="0" u="none" strike="noStrike" baseline="0">
                      <a:solidFill>
                        <a:srgbClr val="000000"/>
                      </a:solidFill>
                      <a:latin typeface="Times New Roman"/>
                      <a:ea typeface="Times New Roman"/>
                      <a:cs typeface="Times New Roman"/>
                    </a:defRPr>
                  </a:pPr>
                  <a:endParaRPr lang="nb-NO"/>
                </a:p>
              </c:txPr>
              <c:dLblPos val="r"/>
            </c:dLbl>
            <c:delete val="1"/>
          </c:dLbls>
          <c:xVal>
            <c:numRef>
              <c:f>Markedstilpasning!$B$153:$B$172</c:f>
              <c:numCache>
                <c:formatCode>0</c:formatCode>
                <c:ptCount val="16"/>
                <c:pt idx="0">
                  <c:v>200</c:v>
                </c:pt>
                <c:pt idx="1">
                  <c:v>400</c:v>
                </c:pt>
                <c:pt idx="2">
                  <c:v>600</c:v>
                </c:pt>
                <c:pt idx="3">
                  <c:v>800</c:v>
                </c:pt>
                <c:pt idx="4">
                  <c:v>1000</c:v>
                </c:pt>
                <c:pt idx="5">
                  <c:v>1200</c:v>
                </c:pt>
                <c:pt idx="6">
                  <c:v>1400</c:v>
                </c:pt>
                <c:pt idx="7">
                  <c:v>1600</c:v>
                </c:pt>
                <c:pt idx="8">
                  <c:v>1800</c:v>
                </c:pt>
                <c:pt idx="9">
                  <c:v>2000</c:v>
                </c:pt>
                <c:pt idx="10">
                  <c:v>2200</c:v>
                </c:pt>
                <c:pt idx="11">
                  <c:v>2400</c:v>
                </c:pt>
                <c:pt idx="12">
                  <c:v>2600</c:v>
                </c:pt>
                <c:pt idx="13">
                  <c:v>2800</c:v>
                </c:pt>
                <c:pt idx="14">
                  <c:v>3000</c:v>
                </c:pt>
                <c:pt idx="15">
                  <c:v>3200</c:v>
                </c:pt>
              </c:numCache>
            </c:numRef>
          </c:xVal>
          <c:yVal>
            <c:numRef>
              <c:f>Markedstilpasning!$G$153:$G$172</c:f>
              <c:numCache>
                <c:formatCode>General</c:formatCode>
                <c:ptCount val="16"/>
                <c:pt idx="0" formatCode="0">
                  <c:v>3300</c:v>
                </c:pt>
                <c:pt idx="2" formatCode="0">
                  <c:v>2100</c:v>
                </c:pt>
                <c:pt idx="4" formatCode="0">
                  <c:v>1200</c:v>
                </c:pt>
                <c:pt idx="6" formatCode="0">
                  <c:v>1000</c:v>
                </c:pt>
                <c:pt idx="8" formatCode="0">
                  <c:v>1400</c:v>
                </c:pt>
                <c:pt idx="10" formatCode="0">
                  <c:v>2399.9999999999977</c:v>
                </c:pt>
                <c:pt idx="12" formatCode="0">
                  <c:v>4000.0000000000023</c:v>
                </c:pt>
                <c:pt idx="14" formatCode="0">
                  <c:v>7800</c:v>
                </c:pt>
              </c:numCache>
            </c:numRef>
          </c:yVal>
          <c:smooth val="1"/>
        </c:ser>
        <c:ser>
          <c:idx val="5"/>
          <c:order val="4"/>
          <c:spPr>
            <a:ln w="3175">
              <a:solidFill>
                <a:srgbClr val="000000"/>
              </a:solidFill>
              <a:prstDash val="sysDash"/>
            </a:ln>
          </c:spPr>
          <c:marker>
            <c:symbol val="none"/>
          </c:marker>
          <c:xVal>
            <c:numRef>
              <c:f>Markedstilpasning!$B$152:$B$172</c:f>
              <c:numCache>
                <c:formatCode>0</c:formatCode>
                <c:ptCount val="17"/>
                <c:pt idx="0">
                  <c:v>0</c:v>
                </c:pt>
                <c:pt idx="1">
                  <c:v>200</c:v>
                </c:pt>
                <c:pt idx="2">
                  <c:v>400</c:v>
                </c:pt>
                <c:pt idx="3">
                  <c:v>600</c:v>
                </c:pt>
                <c:pt idx="4">
                  <c:v>800</c:v>
                </c:pt>
                <c:pt idx="5">
                  <c:v>1000</c:v>
                </c:pt>
                <c:pt idx="6">
                  <c:v>1200</c:v>
                </c:pt>
                <c:pt idx="7">
                  <c:v>1400</c:v>
                </c:pt>
                <c:pt idx="8">
                  <c:v>1600</c:v>
                </c:pt>
                <c:pt idx="9">
                  <c:v>1800</c:v>
                </c:pt>
                <c:pt idx="10">
                  <c:v>2000</c:v>
                </c:pt>
                <c:pt idx="11">
                  <c:v>2200</c:v>
                </c:pt>
                <c:pt idx="12">
                  <c:v>2400</c:v>
                </c:pt>
                <c:pt idx="13">
                  <c:v>2600</c:v>
                </c:pt>
                <c:pt idx="14">
                  <c:v>2800</c:v>
                </c:pt>
                <c:pt idx="15">
                  <c:v>3000</c:v>
                </c:pt>
                <c:pt idx="16">
                  <c:v>3200</c:v>
                </c:pt>
              </c:numCache>
            </c:numRef>
          </c:xVal>
          <c:yVal>
            <c:numRef>
              <c:f>Markedstilpasning!$H$152:$H$172</c:f>
              <c:numCache>
                <c:formatCode>0</c:formatCode>
                <c:ptCount val="17"/>
                <c:pt idx="1">
                  <c:v>0</c:v>
                </c:pt>
                <c:pt idx="3">
                  <c:v>0</c:v>
                </c:pt>
                <c:pt idx="5">
                  <c:v>0</c:v>
                </c:pt>
                <c:pt idx="7">
                  <c:v>0</c:v>
                </c:pt>
                <c:pt idx="9">
                  <c:v>0</c:v>
                </c:pt>
                <c:pt idx="11">
                  <c:v>0</c:v>
                </c:pt>
                <c:pt idx="13">
                  <c:v>0</c:v>
                </c:pt>
                <c:pt idx="15">
                  <c:v>0</c:v>
                </c:pt>
              </c:numCache>
            </c:numRef>
          </c:yVal>
          <c:smooth val="1"/>
        </c:ser>
        <c:ser>
          <c:idx val="6"/>
          <c:order val="5"/>
          <c:spPr>
            <a:ln w="3175">
              <a:solidFill>
                <a:srgbClr val="FF0000"/>
              </a:solidFill>
              <a:prstDash val="solid"/>
            </a:ln>
          </c:spPr>
          <c:marker>
            <c:symbol val="none"/>
          </c:marker>
          <c:dLbls>
            <c:dLbl>
              <c:idx val="1"/>
              <c:layout>
                <c:manualLayout>
                  <c:x val="-9.3986374614783028E-2"/>
                  <c:y val="4.4903347477604896E-2"/>
                </c:manualLayout>
              </c:layout>
              <c:tx>
                <c:strRef>
                  <c:f>Markedstilpasning!$C$84</c:f>
                  <c:strCache>
                    <c:ptCount val="1"/>
                    <c:pt idx="0">
                      <c:v>Pris</c:v>
                    </c:pt>
                  </c:strCache>
                </c:strRef>
              </c:tx>
              <c:spPr>
                <a:noFill/>
                <a:ln w="25400">
                  <a:noFill/>
                </a:ln>
              </c:spPr>
              <c:txPr>
                <a:bodyPr/>
                <a:lstStyle/>
                <a:p>
                  <a:pPr>
                    <a:defRPr sz="725" b="0" i="0" u="none" strike="noStrike" baseline="0">
                      <a:solidFill>
                        <a:srgbClr val="000000"/>
                      </a:solidFill>
                      <a:latin typeface="Times New Roman"/>
                      <a:ea typeface="Times New Roman"/>
                      <a:cs typeface="Times New Roman"/>
                    </a:defRPr>
                  </a:pPr>
                  <a:endParaRPr lang="nb-NO"/>
                </a:p>
              </c:txPr>
              <c:dLblPos val="r"/>
            </c:dLbl>
            <c:delete val="1"/>
          </c:dLbls>
          <c:xVal>
            <c:numRef>
              <c:f>Markedstilpasning!$B$153:$B$172</c:f>
              <c:numCache>
                <c:formatCode>0</c:formatCode>
                <c:ptCount val="16"/>
                <c:pt idx="0">
                  <c:v>200</c:v>
                </c:pt>
                <c:pt idx="1">
                  <c:v>400</c:v>
                </c:pt>
                <c:pt idx="2">
                  <c:v>600</c:v>
                </c:pt>
                <c:pt idx="3">
                  <c:v>800</c:v>
                </c:pt>
                <c:pt idx="4">
                  <c:v>1000</c:v>
                </c:pt>
                <c:pt idx="5">
                  <c:v>1200</c:v>
                </c:pt>
                <c:pt idx="6">
                  <c:v>1400</c:v>
                </c:pt>
                <c:pt idx="7">
                  <c:v>1600</c:v>
                </c:pt>
                <c:pt idx="8">
                  <c:v>1800</c:v>
                </c:pt>
                <c:pt idx="9">
                  <c:v>2000</c:v>
                </c:pt>
                <c:pt idx="10">
                  <c:v>2200</c:v>
                </c:pt>
                <c:pt idx="11">
                  <c:v>2400</c:v>
                </c:pt>
                <c:pt idx="12">
                  <c:v>2600</c:v>
                </c:pt>
                <c:pt idx="13">
                  <c:v>2800</c:v>
                </c:pt>
                <c:pt idx="14">
                  <c:v>3000</c:v>
                </c:pt>
                <c:pt idx="15">
                  <c:v>3200</c:v>
                </c:pt>
              </c:numCache>
            </c:numRef>
          </c:xVal>
          <c:yVal>
            <c:numRef>
              <c:f>Markedstilpasning!$I$153:$I$172</c:f>
              <c:numCache>
                <c:formatCode>0</c:formatCode>
                <c:ptCount val="16"/>
                <c:pt idx="1">
                  <c:v>2500</c:v>
                </c:pt>
                <c:pt idx="3">
                  <c:v>2500</c:v>
                </c:pt>
                <c:pt idx="5">
                  <c:v>2500</c:v>
                </c:pt>
                <c:pt idx="7">
                  <c:v>2500</c:v>
                </c:pt>
                <c:pt idx="9">
                  <c:v>2500</c:v>
                </c:pt>
                <c:pt idx="11">
                  <c:v>2500</c:v>
                </c:pt>
                <c:pt idx="13">
                  <c:v>2500</c:v>
                </c:pt>
                <c:pt idx="15">
                  <c:v>2500</c:v>
                </c:pt>
              </c:numCache>
            </c:numRef>
          </c:yVal>
          <c:smooth val="1"/>
        </c:ser>
        <c:ser>
          <c:idx val="7"/>
          <c:order val="6"/>
          <c:spPr>
            <a:ln w="3175">
              <a:solidFill>
                <a:srgbClr val="FF0000"/>
              </a:solidFill>
              <a:prstDash val="sysDash"/>
            </a:ln>
          </c:spPr>
          <c:marker>
            <c:symbol val="none"/>
          </c:marker>
          <c:xVal>
            <c:numRef>
              <c:f>Markedstilpasning!$B$152:$B$172</c:f>
              <c:numCache>
                <c:formatCode>0</c:formatCode>
                <c:ptCount val="17"/>
                <c:pt idx="0">
                  <c:v>0</c:v>
                </c:pt>
                <c:pt idx="1">
                  <c:v>200</c:v>
                </c:pt>
                <c:pt idx="2">
                  <c:v>400</c:v>
                </c:pt>
                <c:pt idx="3">
                  <c:v>600</c:v>
                </c:pt>
                <c:pt idx="4">
                  <c:v>800</c:v>
                </c:pt>
                <c:pt idx="5">
                  <c:v>1000</c:v>
                </c:pt>
                <c:pt idx="6">
                  <c:v>1200</c:v>
                </c:pt>
                <c:pt idx="7">
                  <c:v>1400</c:v>
                </c:pt>
                <c:pt idx="8">
                  <c:v>1600</c:v>
                </c:pt>
                <c:pt idx="9">
                  <c:v>1800</c:v>
                </c:pt>
                <c:pt idx="10">
                  <c:v>2000</c:v>
                </c:pt>
                <c:pt idx="11">
                  <c:v>2200</c:v>
                </c:pt>
                <c:pt idx="12">
                  <c:v>2400</c:v>
                </c:pt>
                <c:pt idx="13">
                  <c:v>2600</c:v>
                </c:pt>
                <c:pt idx="14">
                  <c:v>2800</c:v>
                </c:pt>
                <c:pt idx="15">
                  <c:v>3000</c:v>
                </c:pt>
                <c:pt idx="16">
                  <c:v>3200</c:v>
                </c:pt>
              </c:numCache>
            </c:numRef>
          </c:xVal>
          <c:yVal>
            <c:numRef>
              <c:f>Markedstilpasning!$J$152:$J$172</c:f>
              <c:numCache>
                <c:formatCode>General</c:formatCode>
                <c:ptCount val="17"/>
                <c:pt idx="2" formatCode="0">
                  <c:v>0</c:v>
                </c:pt>
                <c:pt idx="4" formatCode="0">
                  <c:v>0</c:v>
                </c:pt>
                <c:pt idx="6" formatCode="0">
                  <c:v>0</c:v>
                </c:pt>
                <c:pt idx="8" formatCode="0">
                  <c:v>0</c:v>
                </c:pt>
                <c:pt idx="10" formatCode="0">
                  <c:v>0</c:v>
                </c:pt>
                <c:pt idx="12" formatCode="0">
                  <c:v>0</c:v>
                </c:pt>
                <c:pt idx="14" formatCode="0">
                  <c:v>0</c:v>
                </c:pt>
                <c:pt idx="16" formatCode="0">
                  <c:v>0</c:v>
                </c:pt>
              </c:numCache>
            </c:numRef>
          </c:yVal>
          <c:smooth val="1"/>
        </c:ser>
        <c:ser>
          <c:idx val="8"/>
          <c:order val="7"/>
          <c:spPr>
            <a:ln w="3175">
              <a:solidFill>
                <a:srgbClr val="FF0000"/>
              </a:solidFill>
              <a:prstDash val="solid"/>
            </a:ln>
          </c:spPr>
          <c:marker>
            <c:symbol val="none"/>
          </c:marker>
          <c:dLbls>
            <c:dLbl>
              <c:idx val="0"/>
              <c:layout>
                <c:manualLayout>
                  <c:x val="1.2250781692117629E-2"/>
                  <c:y val="0.26234983424495284"/>
                </c:manualLayout>
              </c:layout>
              <c:tx>
                <c:strRef>
                  <c:f>Markedstilpasning!$C$85</c:f>
                  <c:strCache>
                    <c:ptCount val="1"/>
                  </c:strCache>
                </c:strRef>
              </c:tx>
              <c:spPr>
                <a:noFill/>
                <a:ln w="25400">
                  <a:noFill/>
                </a:ln>
              </c:spPr>
              <c:txPr>
                <a:bodyPr/>
                <a:lstStyle/>
                <a:p>
                  <a:pPr>
                    <a:defRPr sz="725" b="0" i="0" u="none" strike="noStrike" baseline="0">
                      <a:solidFill>
                        <a:srgbClr val="000000"/>
                      </a:solidFill>
                      <a:latin typeface="Times New Roman"/>
                      <a:ea typeface="Times New Roman"/>
                      <a:cs typeface="Times New Roman"/>
                    </a:defRPr>
                  </a:pPr>
                  <a:endParaRPr lang="nb-NO"/>
                </a:p>
              </c:txPr>
              <c:dLblPos val="r"/>
            </c:dLbl>
            <c:delete val="1"/>
          </c:dLbls>
          <c:xVal>
            <c:numRef>
              <c:f>Markedstilpasning!$B$153:$B$172</c:f>
              <c:numCache>
                <c:formatCode>0</c:formatCode>
                <c:ptCount val="16"/>
                <c:pt idx="0">
                  <c:v>200</c:v>
                </c:pt>
                <c:pt idx="1">
                  <c:v>400</c:v>
                </c:pt>
                <c:pt idx="2">
                  <c:v>600</c:v>
                </c:pt>
                <c:pt idx="3">
                  <c:v>800</c:v>
                </c:pt>
                <c:pt idx="4">
                  <c:v>1000</c:v>
                </c:pt>
                <c:pt idx="5">
                  <c:v>1200</c:v>
                </c:pt>
                <c:pt idx="6">
                  <c:v>1400</c:v>
                </c:pt>
                <c:pt idx="7">
                  <c:v>1600</c:v>
                </c:pt>
                <c:pt idx="8">
                  <c:v>1800</c:v>
                </c:pt>
                <c:pt idx="9">
                  <c:v>2000</c:v>
                </c:pt>
                <c:pt idx="10">
                  <c:v>2200</c:v>
                </c:pt>
                <c:pt idx="11">
                  <c:v>2400</c:v>
                </c:pt>
                <c:pt idx="12">
                  <c:v>2600</c:v>
                </c:pt>
                <c:pt idx="13">
                  <c:v>2800</c:v>
                </c:pt>
                <c:pt idx="14">
                  <c:v>3000</c:v>
                </c:pt>
                <c:pt idx="15">
                  <c:v>3200</c:v>
                </c:pt>
              </c:numCache>
            </c:numRef>
          </c:xVal>
          <c:yVal>
            <c:numRef>
              <c:f>Markedstilpasning!$K$153:$K$172</c:f>
              <c:numCache>
                <c:formatCode>General</c:formatCode>
                <c:ptCount val="16"/>
                <c:pt idx="0" formatCode="0">
                  <c:v>2500</c:v>
                </c:pt>
                <c:pt idx="2" formatCode="0">
                  <c:v>2500</c:v>
                </c:pt>
                <c:pt idx="4" formatCode="0">
                  <c:v>2500</c:v>
                </c:pt>
                <c:pt idx="6" formatCode="0">
                  <c:v>2500</c:v>
                </c:pt>
                <c:pt idx="8" formatCode="0">
                  <c:v>2500</c:v>
                </c:pt>
                <c:pt idx="10" formatCode="0">
                  <c:v>2500</c:v>
                </c:pt>
                <c:pt idx="12" formatCode="0">
                  <c:v>2500</c:v>
                </c:pt>
                <c:pt idx="14" formatCode="0">
                  <c:v>2500</c:v>
                </c:pt>
              </c:numCache>
            </c:numRef>
          </c:yVal>
          <c:smooth val="1"/>
        </c:ser>
        <c:ser>
          <c:idx val="9"/>
          <c:order val="8"/>
          <c:spPr>
            <a:ln w="3175">
              <a:solidFill>
                <a:srgbClr val="FF0000"/>
              </a:solidFill>
              <a:prstDash val="sysDash"/>
            </a:ln>
          </c:spPr>
          <c:marker>
            <c:symbol val="none"/>
          </c:marker>
          <c:xVal>
            <c:numRef>
              <c:f>Markedstilpasning!$B$152:$B$172</c:f>
              <c:numCache>
                <c:formatCode>0</c:formatCode>
                <c:ptCount val="17"/>
                <c:pt idx="0">
                  <c:v>0</c:v>
                </c:pt>
                <c:pt idx="1">
                  <c:v>200</c:v>
                </c:pt>
                <c:pt idx="2">
                  <c:v>400</c:v>
                </c:pt>
                <c:pt idx="3">
                  <c:v>600</c:v>
                </c:pt>
                <c:pt idx="4">
                  <c:v>800</c:v>
                </c:pt>
                <c:pt idx="5">
                  <c:v>1000</c:v>
                </c:pt>
                <c:pt idx="6">
                  <c:v>1200</c:v>
                </c:pt>
                <c:pt idx="7">
                  <c:v>1400</c:v>
                </c:pt>
                <c:pt idx="8">
                  <c:v>1600</c:v>
                </c:pt>
                <c:pt idx="9">
                  <c:v>1800</c:v>
                </c:pt>
                <c:pt idx="10">
                  <c:v>2000</c:v>
                </c:pt>
                <c:pt idx="11">
                  <c:v>2200</c:v>
                </c:pt>
                <c:pt idx="12">
                  <c:v>2400</c:v>
                </c:pt>
                <c:pt idx="13">
                  <c:v>2600</c:v>
                </c:pt>
                <c:pt idx="14">
                  <c:v>2800</c:v>
                </c:pt>
                <c:pt idx="15">
                  <c:v>3000</c:v>
                </c:pt>
                <c:pt idx="16">
                  <c:v>3200</c:v>
                </c:pt>
              </c:numCache>
            </c:numRef>
          </c:xVal>
          <c:yVal>
            <c:numRef>
              <c:f>Markedstilpasning!$L$152:$L$172</c:f>
              <c:numCache>
                <c:formatCode>0</c:formatCode>
                <c:ptCount val="17"/>
                <c:pt idx="1">
                  <c:v>0</c:v>
                </c:pt>
                <c:pt idx="3">
                  <c:v>0</c:v>
                </c:pt>
                <c:pt idx="5">
                  <c:v>0</c:v>
                </c:pt>
                <c:pt idx="7">
                  <c:v>0</c:v>
                </c:pt>
                <c:pt idx="9">
                  <c:v>0</c:v>
                </c:pt>
                <c:pt idx="11">
                  <c:v>0</c:v>
                </c:pt>
                <c:pt idx="13">
                  <c:v>0</c:v>
                </c:pt>
                <c:pt idx="15">
                  <c:v>0</c:v>
                </c:pt>
              </c:numCache>
            </c:numRef>
          </c:yVal>
          <c:smooth val="1"/>
        </c:ser>
        <c:ser>
          <c:idx val="10"/>
          <c:order val="9"/>
          <c:spPr>
            <a:ln w="12700">
              <a:solidFill>
                <a:srgbClr val="000000"/>
              </a:solidFill>
              <a:prstDash val="solid"/>
            </a:ln>
          </c:spPr>
          <c:marker>
            <c:symbol val="none"/>
          </c:marker>
          <c:dLbls>
            <c:dLbl>
              <c:idx val="0"/>
              <c:layout>
                <c:manualLayout>
                  <c:x val="0.12082222527443665"/>
                  <c:y val="1.4853950754845406E-2"/>
                </c:manualLayout>
              </c:layout>
              <c:tx>
                <c:strRef>
                  <c:f>Markedstilpasning!$C$88</c:f>
                  <c:strCache>
                    <c:ptCount val="1"/>
                  </c:strCache>
                </c:strRef>
              </c:tx>
              <c:spPr>
                <a:noFill/>
                <a:ln w="25400">
                  <a:noFill/>
                </a:ln>
              </c:spPr>
              <c:txPr>
                <a:bodyPr/>
                <a:lstStyle/>
                <a:p>
                  <a:pPr>
                    <a:defRPr sz="725" b="0" i="0" u="none" strike="noStrike" baseline="0">
                      <a:solidFill>
                        <a:srgbClr val="000000"/>
                      </a:solidFill>
                      <a:latin typeface="Times New Roman"/>
                      <a:ea typeface="Times New Roman"/>
                      <a:cs typeface="Times New Roman"/>
                    </a:defRPr>
                  </a:pPr>
                  <a:endParaRPr lang="nb-NO"/>
                </a:p>
              </c:txPr>
              <c:dLblPos val="r"/>
            </c:dLbl>
            <c:delete val="1"/>
          </c:dLbls>
          <c:xVal>
            <c:numRef>
              <c:f>Markedstilpasning!$B$152:$B$172</c:f>
              <c:numCache>
                <c:formatCode>0</c:formatCode>
                <c:ptCount val="17"/>
                <c:pt idx="0">
                  <c:v>0</c:v>
                </c:pt>
                <c:pt idx="1">
                  <c:v>200</c:v>
                </c:pt>
                <c:pt idx="2">
                  <c:v>400</c:v>
                </c:pt>
                <c:pt idx="3">
                  <c:v>600</c:v>
                </c:pt>
                <c:pt idx="4">
                  <c:v>800</c:v>
                </c:pt>
                <c:pt idx="5">
                  <c:v>1000</c:v>
                </c:pt>
                <c:pt idx="6">
                  <c:v>1200</c:v>
                </c:pt>
                <c:pt idx="7">
                  <c:v>1400</c:v>
                </c:pt>
                <c:pt idx="8">
                  <c:v>1600</c:v>
                </c:pt>
                <c:pt idx="9">
                  <c:v>1800</c:v>
                </c:pt>
                <c:pt idx="10">
                  <c:v>2000</c:v>
                </c:pt>
                <c:pt idx="11">
                  <c:v>2200</c:v>
                </c:pt>
                <c:pt idx="12">
                  <c:v>2400</c:v>
                </c:pt>
                <c:pt idx="13">
                  <c:v>2600</c:v>
                </c:pt>
                <c:pt idx="14">
                  <c:v>2800</c:v>
                </c:pt>
                <c:pt idx="15">
                  <c:v>3000</c:v>
                </c:pt>
                <c:pt idx="16">
                  <c:v>3200</c:v>
                </c:pt>
              </c:numCache>
            </c:numRef>
          </c:xVal>
          <c:yVal>
            <c:numRef>
              <c:f>Markedstilpasning!$M$152:$M$172</c:f>
              <c:numCache>
                <c:formatCode>General</c:formatCode>
                <c:ptCount val="17"/>
                <c:pt idx="0" formatCode="_-* #,##0_k_r_-;\-* #,##0_k_r_-;_-* &quot;-&quot;??_k_r_-;_-@_-">
                  <c:v>0</c:v>
                </c:pt>
                <c:pt idx="2" formatCode="_-* #,##0_k_r_-;\-* #,##0_k_r_-;_-* &quot;-&quot;??_k_r_-;_-@_-">
                  <c:v>0</c:v>
                </c:pt>
                <c:pt idx="4" formatCode="_-* #,##0_k_r_-;\-* #,##0_k_r_-;_-* &quot;-&quot;??_k_r_-;_-@_-">
                  <c:v>0</c:v>
                </c:pt>
                <c:pt idx="6" formatCode="_-* #,##0_k_r_-;\-* #,##0_k_r_-;_-* &quot;-&quot;??_k_r_-;_-@_-">
                  <c:v>0</c:v>
                </c:pt>
                <c:pt idx="8" formatCode="_-* #,##0_k_r_-;\-* #,##0_k_r_-;_-* &quot;-&quot;??_k_r_-;_-@_-">
                  <c:v>0</c:v>
                </c:pt>
                <c:pt idx="10" formatCode="_-* #,##0_k_r_-;\-* #,##0_k_r_-;_-* &quot;-&quot;??_k_r_-;_-@_-">
                  <c:v>0</c:v>
                </c:pt>
                <c:pt idx="12" formatCode="_-* #,##0_k_r_-;\-* #,##0_k_r_-;_-* &quot;-&quot;??_k_r_-;_-@_-">
                  <c:v>0</c:v>
                </c:pt>
                <c:pt idx="14" formatCode="_-* #,##0_k_r_-;\-* #,##0_k_r_-;_-* &quot;-&quot;??_k_r_-;_-@_-">
                  <c:v>0</c:v>
                </c:pt>
                <c:pt idx="16" formatCode="_-* #,##0_k_r_-;\-* #,##0_k_r_-;_-* &quot;-&quot;??_k_r_-;_-@_-">
                  <c:v>0</c:v>
                </c:pt>
              </c:numCache>
            </c:numRef>
          </c:yVal>
          <c:smooth val="1"/>
        </c:ser>
        <c:ser>
          <c:idx val="11"/>
          <c:order val="10"/>
          <c:spPr>
            <a:ln w="3175">
              <a:solidFill>
                <a:srgbClr val="0000FF"/>
              </a:solidFill>
              <a:prstDash val="sysDash"/>
            </a:ln>
          </c:spPr>
          <c:marker>
            <c:symbol val="none"/>
          </c:marker>
          <c:xVal>
            <c:numRef>
              <c:f>Markedstilpasning!$B$154:$B$172</c:f>
              <c:numCache>
                <c:formatCode>0</c:formatCode>
                <c:ptCount val="15"/>
                <c:pt idx="0">
                  <c:v>400</c:v>
                </c:pt>
                <c:pt idx="1">
                  <c:v>600</c:v>
                </c:pt>
                <c:pt idx="2">
                  <c:v>800</c:v>
                </c:pt>
                <c:pt idx="3">
                  <c:v>1000</c:v>
                </c:pt>
                <c:pt idx="4">
                  <c:v>1200</c:v>
                </c:pt>
                <c:pt idx="5">
                  <c:v>1400</c:v>
                </c:pt>
                <c:pt idx="6">
                  <c:v>1600</c:v>
                </c:pt>
                <c:pt idx="7">
                  <c:v>1800</c:v>
                </c:pt>
                <c:pt idx="8">
                  <c:v>2000</c:v>
                </c:pt>
                <c:pt idx="9">
                  <c:v>2200</c:v>
                </c:pt>
                <c:pt idx="10">
                  <c:v>2400</c:v>
                </c:pt>
                <c:pt idx="11">
                  <c:v>2600</c:v>
                </c:pt>
                <c:pt idx="12">
                  <c:v>2800</c:v>
                </c:pt>
                <c:pt idx="13">
                  <c:v>3000</c:v>
                </c:pt>
                <c:pt idx="14">
                  <c:v>3200</c:v>
                </c:pt>
              </c:numCache>
            </c:numRef>
          </c:xVal>
          <c:yVal>
            <c:numRef>
              <c:f>Markedstilpasning!$D$154:$D$172</c:f>
              <c:numCache>
                <c:formatCode>General</c:formatCode>
                <c:ptCount val="15"/>
                <c:pt idx="0" formatCode="0">
                  <c:v>5425</c:v>
                </c:pt>
                <c:pt idx="2" formatCode="0">
                  <c:v>3762.5</c:v>
                </c:pt>
                <c:pt idx="4" formatCode="0">
                  <c:v>2908.3333333333348</c:v>
                </c:pt>
                <c:pt idx="6" formatCode="0">
                  <c:v>2431.25</c:v>
                </c:pt>
                <c:pt idx="8" formatCode="0">
                  <c:v>2225</c:v>
                </c:pt>
                <c:pt idx="10" formatCode="0">
                  <c:v>2254.1666666666656</c:v>
                </c:pt>
                <c:pt idx="12" formatCode="0">
                  <c:v>2503.5714285714294</c:v>
                </c:pt>
                <c:pt idx="14" formatCode="0">
                  <c:v>3165.625</c:v>
                </c:pt>
              </c:numCache>
            </c:numRef>
          </c:yVal>
          <c:smooth val="1"/>
        </c:ser>
        <c:axId val="89667072"/>
        <c:axId val="96715136"/>
      </c:scatterChart>
      <c:valAx>
        <c:axId val="89667072"/>
        <c:scaling>
          <c:orientation val="minMax"/>
        </c:scaling>
        <c:axPos val="b"/>
        <c:minorGridlines>
          <c:spPr>
            <a:ln w="3175">
              <a:solidFill>
                <a:srgbClr val="E3E3E3"/>
              </a:solidFill>
              <a:prstDash val="solid"/>
            </a:ln>
          </c:spPr>
        </c:minorGridlines>
        <c:title>
          <c:tx>
            <c:rich>
              <a:bodyPr/>
              <a:lstStyle/>
              <a:p>
                <a:pPr>
                  <a:defRPr sz="1100" b="1" i="0" u="none" strike="noStrike" baseline="0">
                    <a:solidFill>
                      <a:srgbClr val="000000"/>
                    </a:solidFill>
                    <a:latin typeface="Times New Roman"/>
                    <a:ea typeface="Times New Roman"/>
                    <a:cs typeface="Times New Roman"/>
                  </a:defRPr>
                </a:pPr>
                <a:r>
                  <a:rPr lang="nb-NO"/>
                  <a:t>Mengde</a:t>
                </a:r>
              </a:p>
            </c:rich>
          </c:tx>
          <c:layout>
            <c:manualLayout>
              <c:xMode val="edge"/>
              <c:yMode val="edge"/>
              <c:x val="0.45535714285714285"/>
              <c:y val="0.95977873598052865"/>
            </c:manualLayout>
          </c:layout>
          <c:spPr>
            <a:noFill/>
            <a:ln w="25400">
              <a:noFill/>
            </a:ln>
          </c:spPr>
        </c:title>
        <c:numFmt formatCode="0" sourceLinked="1"/>
        <c:tickLblPos val="nextTo"/>
        <c:spPr>
          <a:ln w="12700">
            <a:solidFill>
              <a:srgbClr val="000000"/>
            </a:solidFill>
            <a:prstDash val="solid"/>
          </a:ln>
        </c:spPr>
        <c:txPr>
          <a:bodyPr rot="0" vert="horz"/>
          <a:lstStyle/>
          <a:p>
            <a:pPr>
              <a:defRPr sz="825" b="0" i="0" u="none" strike="noStrike" baseline="0">
                <a:solidFill>
                  <a:srgbClr val="000000"/>
                </a:solidFill>
                <a:latin typeface="Times New Roman"/>
                <a:ea typeface="Times New Roman"/>
                <a:cs typeface="Times New Roman"/>
              </a:defRPr>
            </a:pPr>
            <a:endParaRPr lang="nb-NO"/>
          </a:p>
        </c:txPr>
        <c:crossAx val="96715136"/>
        <c:crosses val="autoZero"/>
        <c:crossBetween val="midCat"/>
      </c:valAx>
      <c:valAx>
        <c:axId val="96715136"/>
        <c:scaling>
          <c:orientation val="minMax"/>
        </c:scaling>
        <c:axPos val="l"/>
        <c:minorGridlines>
          <c:spPr>
            <a:ln w="3175">
              <a:solidFill>
                <a:srgbClr val="E3E3E3"/>
              </a:solidFill>
              <a:prstDash val="solid"/>
            </a:ln>
          </c:spPr>
        </c:minorGridlines>
        <c:title>
          <c:tx>
            <c:rich>
              <a:bodyPr/>
              <a:lstStyle/>
              <a:p>
                <a:pPr>
                  <a:defRPr sz="1100" b="1" i="0" u="none" strike="noStrike" baseline="0">
                    <a:solidFill>
                      <a:srgbClr val="000000"/>
                    </a:solidFill>
                    <a:latin typeface="Times New Roman"/>
                    <a:ea typeface="Times New Roman"/>
                    <a:cs typeface="Times New Roman"/>
                  </a:defRPr>
                </a:pPr>
                <a:r>
                  <a:rPr lang="nb-NO"/>
                  <a:t>Kroner</a:t>
                </a:r>
              </a:p>
            </c:rich>
          </c:tx>
          <c:layout>
            <c:manualLayout>
              <c:xMode val="edge"/>
              <c:yMode val="edge"/>
              <c:x val="1.2500000000000001E-2"/>
              <c:y val="0.49930685686848336"/>
            </c:manualLayout>
          </c:layout>
          <c:spPr>
            <a:noFill/>
            <a:ln w="25400">
              <a:noFill/>
            </a:ln>
          </c:spPr>
        </c:title>
        <c:numFmt formatCode="General" sourceLinked="1"/>
        <c:tickLblPos val="nextTo"/>
        <c:spPr>
          <a:ln w="3175">
            <a:solidFill>
              <a:srgbClr val="000000"/>
            </a:solidFill>
            <a:prstDash val="solid"/>
          </a:ln>
        </c:spPr>
        <c:txPr>
          <a:bodyPr rot="0" vert="horz"/>
          <a:lstStyle/>
          <a:p>
            <a:pPr>
              <a:defRPr sz="825" b="0" i="0" u="none" strike="noStrike" baseline="0">
                <a:solidFill>
                  <a:srgbClr val="000000"/>
                </a:solidFill>
                <a:latin typeface="Times New Roman"/>
                <a:ea typeface="Times New Roman"/>
                <a:cs typeface="Times New Roman"/>
              </a:defRPr>
            </a:pPr>
            <a:endParaRPr lang="nb-NO"/>
          </a:p>
        </c:txPr>
        <c:crossAx val="89667072"/>
        <c:crosses val="autoZero"/>
        <c:crossBetween val="midCat"/>
      </c:valAx>
      <c:spPr>
        <a:noFill/>
        <a:ln w="25400">
          <a:noFill/>
        </a:ln>
      </c:spPr>
    </c:plotArea>
    <c:plotVisOnly val="1"/>
    <c:dispBlanksAs val="span"/>
  </c:chart>
  <c:spPr>
    <a:solidFill>
      <a:srgbClr val="FFFFFF"/>
    </a:solidFill>
    <a:ln w="3175">
      <a:solidFill>
        <a:srgbClr val="000000"/>
      </a:solidFill>
      <a:prstDash val="solid"/>
    </a:ln>
    <a:effectLst>
      <a:outerShdw dist="35921" dir="2700000" algn="br">
        <a:srgbClr val="000000"/>
      </a:outerShdw>
    </a:effectLst>
  </c:spPr>
  <c:txPr>
    <a:bodyPr/>
    <a:lstStyle/>
    <a:p>
      <a:pPr>
        <a:defRPr sz="1550" b="0" i="0" u="none" strike="noStrike" baseline="0">
          <a:solidFill>
            <a:srgbClr val="000000"/>
          </a:solidFill>
          <a:latin typeface="Times New Roman"/>
          <a:ea typeface="Times New Roman"/>
          <a:cs typeface="Times New Roman"/>
        </a:defRPr>
      </a:pPr>
      <a:endParaRPr lang="nb-NO"/>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nb-NO"/>
  <c:chart>
    <c:title>
      <c:tx>
        <c:rich>
          <a:bodyPr/>
          <a:lstStyle/>
          <a:p>
            <a:pPr>
              <a:defRPr sz="1175" b="1" i="0" u="none" strike="noStrike" baseline="0">
                <a:solidFill>
                  <a:srgbClr val="000000"/>
                </a:solidFill>
                <a:latin typeface="Times New Roman"/>
                <a:ea typeface="Times New Roman"/>
                <a:cs typeface="Times New Roman"/>
              </a:defRPr>
            </a:pPr>
            <a:r>
              <a:rPr lang="nb-NO"/>
              <a:t>Totaldiagram</a:t>
            </a:r>
          </a:p>
        </c:rich>
      </c:tx>
      <c:layout>
        <c:manualLayout>
          <c:xMode val="edge"/>
          <c:yMode val="edge"/>
          <c:x val="0.41785714285714287"/>
          <c:y val="2.609890109890111E-2"/>
        </c:manualLayout>
      </c:layout>
      <c:spPr>
        <a:noFill/>
        <a:ln w="25400">
          <a:noFill/>
        </a:ln>
      </c:spPr>
    </c:title>
    <c:plotArea>
      <c:layout>
        <c:manualLayout>
          <c:layoutTarget val="inner"/>
          <c:xMode val="edge"/>
          <c:yMode val="edge"/>
          <c:x val="7.678571428571429E-2"/>
          <c:y val="0.12225274725274726"/>
          <c:w val="0.83571428571428552"/>
          <c:h val="0.73626373626373665"/>
        </c:manualLayout>
      </c:layout>
      <c:scatterChart>
        <c:scatterStyle val="smoothMarker"/>
        <c:ser>
          <c:idx val="0"/>
          <c:order val="0"/>
          <c:spPr>
            <a:ln w="3175">
              <a:solidFill>
                <a:srgbClr val="000080"/>
              </a:solidFill>
              <a:prstDash val="solid"/>
            </a:ln>
          </c:spPr>
          <c:marker>
            <c:symbol val="none"/>
          </c:marker>
          <c:dLbls>
            <c:dLbl>
              <c:idx val="12"/>
              <c:tx>
                <c:strRef>
                  <c:f>Markedstilpasning!$D$83</c:f>
                  <c:strCache>
                    <c:ptCount val="1"/>
                    <c:pt idx="0">
                      <c:v>Sum kostnader</c:v>
                    </c:pt>
                  </c:strCache>
                </c:strRef>
              </c:tx>
              <c:spPr>
                <a:noFill/>
                <a:ln w="25400">
                  <a:noFill/>
                </a:ln>
              </c:spPr>
              <c:txPr>
                <a:bodyPr/>
                <a:lstStyle/>
                <a:p>
                  <a:pPr>
                    <a:defRPr sz="825" b="0" i="0" u="none" strike="noStrike" baseline="0">
                      <a:solidFill>
                        <a:srgbClr val="000000"/>
                      </a:solidFill>
                      <a:latin typeface="Times New Roman"/>
                      <a:ea typeface="Times New Roman"/>
                      <a:cs typeface="Times New Roman"/>
                    </a:defRPr>
                  </a:pPr>
                  <a:endParaRPr lang="nb-NO"/>
                </a:p>
              </c:txPr>
            </c:dLbl>
            <c:delete val="1"/>
          </c:dLbls>
          <c:xVal>
            <c:numRef>
              <c:f>Markedstilpasning!$N$152:$N$172</c:f>
              <c:numCache>
                <c:formatCode>0</c:formatCode>
                <c:ptCount val="17"/>
                <c:pt idx="0">
                  <c:v>0</c:v>
                </c:pt>
                <c:pt idx="1">
                  <c:v>200</c:v>
                </c:pt>
                <c:pt idx="2">
                  <c:v>400</c:v>
                </c:pt>
                <c:pt idx="3">
                  <c:v>600</c:v>
                </c:pt>
                <c:pt idx="4">
                  <c:v>800</c:v>
                </c:pt>
                <c:pt idx="5">
                  <c:v>1000</c:v>
                </c:pt>
                <c:pt idx="6">
                  <c:v>1200</c:v>
                </c:pt>
                <c:pt idx="7">
                  <c:v>1400</c:v>
                </c:pt>
                <c:pt idx="8">
                  <c:v>1600</c:v>
                </c:pt>
                <c:pt idx="9">
                  <c:v>1800</c:v>
                </c:pt>
                <c:pt idx="10">
                  <c:v>2000</c:v>
                </c:pt>
                <c:pt idx="11">
                  <c:v>2200</c:v>
                </c:pt>
                <c:pt idx="12">
                  <c:v>2400</c:v>
                </c:pt>
                <c:pt idx="13">
                  <c:v>2600</c:v>
                </c:pt>
                <c:pt idx="14">
                  <c:v>2800</c:v>
                </c:pt>
                <c:pt idx="15">
                  <c:v>3000</c:v>
                </c:pt>
                <c:pt idx="16">
                  <c:v>3200</c:v>
                </c:pt>
              </c:numCache>
            </c:numRef>
          </c:xVal>
          <c:yVal>
            <c:numRef>
              <c:f>Markedstilpasning!$O$152:$O$172</c:f>
              <c:numCache>
                <c:formatCode>General</c:formatCode>
                <c:ptCount val="17"/>
                <c:pt idx="0" formatCode="0">
                  <c:v>850000</c:v>
                </c:pt>
                <c:pt idx="2" formatCode="0">
                  <c:v>2170000</c:v>
                </c:pt>
                <c:pt idx="4" formatCode="0">
                  <c:v>3010000</c:v>
                </c:pt>
                <c:pt idx="6" formatCode="0">
                  <c:v>3490000</c:v>
                </c:pt>
                <c:pt idx="8" formatCode="0">
                  <c:v>3890000</c:v>
                </c:pt>
                <c:pt idx="10" formatCode="0">
                  <c:v>4450000</c:v>
                </c:pt>
                <c:pt idx="12" formatCode="0">
                  <c:v>5410000</c:v>
                </c:pt>
                <c:pt idx="14" formatCode="0">
                  <c:v>7010000</c:v>
                </c:pt>
                <c:pt idx="16" formatCode="0">
                  <c:v>10130000</c:v>
                </c:pt>
              </c:numCache>
            </c:numRef>
          </c:yVal>
          <c:smooth val="1"/>
        </c:ser>
        <c:ser>
          <c:idx val="1"/>
          <c:order val="1"/>
          <c:spPr>
            <a:ln w="3175">
              <a:solidFill>
                <a:srgbClr val="000000"/>
              </a:solidFill>
              <a:prstDash val="sysDash"/>
            </a:ln>
          </c:spPr>
          <c:marker>
            <c:symbol val="none"/>
          </c:marker>
          <c:xVal>
            <c:numRef>
              <c:f>Markedstilpasning!$N$152:$N$172</c:f>
              <c:numCache>
                <c:formatCode>0</c:formatCode>
                <c:ptCount val="17"/>
                <c:pt idx="0">
                  <c:v>0</c:v>
                </c:pt>
                <c:pt idx="1">
                  <c:v>200</c:v>
                </c:pt>
                <c:pt idx="2">
                  <c:v>400</c:v>
                </c:pt>
                <c:pt idx="3">
                  <c:v>600</c:v>
                </c:pt>
                <c:pt idx="4">
                  <c:v>800</c:v>
                </c:pt>
                <c:pt idx="5">
                  <c:v>1000</c:v>
                </c:pt>
                <c:pt idx="6">
                  <c:v>1200</c:v>
                </c:pt>
                <c:pt idx="7">
                  <c:v>1400</c:v>
                </c:pt>
                <c:pt idx="8">
                  <c:v>1600</c:v>
                </c:pt>
                <c:pt idx="9">
                  <c:v>1800</c:v>
                </c:pt>
                <c:pt idx="10">
                  <c:v>2000</c:v>
                </c:pt>
                <c:pt idx="11">
                  <c:v>2200</c:v>
                </c:pt>
                <c:pt idx="12">
                  <c:v>2400</c:v>
                </c:pt>
                <c:pt idx="13">
                  <c:v>2600</c:v>
                </c:pt>
                <c:pt idx="14">
                  <c:v>2800</c:v>
                </c:pt>
                <c:pt idx="15">
                  <c:v>3000</c:v>
                </c:pt>
                <c:pt idx="16">
                  <c:v>3200</c:v>
                </c:pt>
              </c:numCache>
            </c:numRef>
          </c:xVal>
          <c:yVal>
            <c:numRef>
              <c:f>Markedstilpasning!$P$152:$P$172</c:f>
              <c:numCache>
                <c:formatCode>General</c:formatCode>
                <c:ptCount val="17"/>
                <c:pt idx="0" formatCode="0">
                  <c:v>850000</c:v>
                </c:pt>
                <c:pt idx="2" formatCode="0">
                  <c:v>2170000</c:v>
                </c:pt>
                <c:pt idx="4" formatCode="0">
                  <c:v>3010000</c:v>
                </c:pt>
                <c:pt idx="6" formatCode="0">
                  <c:v>3490000</c:v>
                </c:pt>
                <c:pt idx="8" formatCode="0">
                  <c:v>3890000</c:v>
                </c:pt>
                <c:pt idx="10" formatCode="0">
                  <c:v>4450000</c:v>
                </c:pt>
                <c:pt idx="12" formatCode="0">
                  <c:v>5410000</c:v>
                </c:pt>
                <c:pt idx="14" formatCode="0">
                  <c:v>7010000</c:v>
                </c:pt>
                <c:pt idx="16" formatCode="0">
                  <c:v>10130000</c:v>
                </c:pt>
              </c:numCache>
            </c:numRef>
          </c:yVal>
          <c:smooth val="1"/>
        </c:ser>
        <c:ser>
          <c:idx val="2"/>
          <c:order val="2"/>
          <c:spPr>
            <a:ln w="3175">
              <a:solidFill>
                <a:srgbClr val="3333CC"/>
              </a:solidFill>
              <a:prstDash val="solid"/>
            </a:ln>
          </c:spPr>
          <c:marker>
            <c:symbol val="none"/>
          </c:marker>
          <c:dLbls>
            <c:dLbl>
              <c:idx val="12"/>
              <c:tx>
                <c:strRef>
                  <c:f>Markedstilpasning!$D$84</c:f>
                  <c:strCache>
                    <c:ptCount val="1"/>
                    <c:pt idx="0">
                      <c:v>Salgsinntekter</c:v>
                    </c:pt>
                  </c:strCache>
                </c:strRef>
              </c:tx>
              <c:spPr>
                <a:noFill/>
                <a:ln w="25400">
                  <a:noFill/>
                </a:ln>
              </c:spPr>
              <c:txPr>
                <a:bodyPr/>
                <a:lstStyle/>
                <a:p>
                  <a:pPr>
                    <a:defRPr sz="825" b="0" i="0" u="none" strike="noStrike" baseline="0">
                      <a:solidFill>
                        <a:srgbClr val="000000"/>
                      </a:solidFill>
                      <a:latin typeface="Times New Roman"/>
                      <a:ea typeface="Times New Roman"/>
                      <a:cs typeface="Times New Roman"/>
                    </a:defRPr>
                  </a:pPr>
                  <a:endParaRPr lang="nb-NO"/>
                </a:p>
              </c:txPr>
            </c:dLbl>
            <c:delete val="1"/>
          </c:dLbls>
          <c:xVal>
            <c:numRef>
              <c:f>Markedstilpasning!$N$152:$N$172</c:f>
              <c:numCache>
                <c:formatCode>0</c:formatCode>
                <c:ptCount val="17"/>
                <c:pt idx="0">
                  <c:v>0</c:v>
                </c:pt>
                <c:pt idx="1">
                  <c:v>200</c:v>
                </c:pt>
                <c:pt idx="2">
                  <c:v>400</c:v>
                </c:pt>
                <c:pt idx="3">
                  <c:v>600</c:v>
                </c:pt>
                <c:pt idx="4">
                  <c:v>800</c:v>
                </c:pt>
                <c:pt idx="5">
                  <c:v>1000</c:v>
                </c:pt>
                <c:pt idx="6">
                  <c:v>1200</c:v>
                </c:pt>
                <c:pt idx="7">
                  <c:v>1400</c:v>
                </c:pt>
                <c:pt idx="8">
                  <c:v>1600</c:v>
                </c:pt>
                <c:pt idx="9">
                  <c:v>1800</c:v>
                </c:pt>
                <c:pt idx="10">
                  <c:v>2000</c:v>
                </c:pt>
                <c:pt idx="11">
                  <c:v>2200</c:v>
                </c:pt>
                <c:pt idx="12">
                  <c:v>2400</c:v>
                </c:pt>
                <c:pt idx="13">
                  <c:v>2600</c:v>
                </c:pt>
                <c:pt idx="14">
                  <c:v>2800</c:v>
                </c:pt>
                <c:pt idx="15">
                  <c:v>3000</c:v>
                </c:pt>
                <c:pt idx="16">
                  <c:v>3200</c:v>
                </c:pt>
              </c:numCache>
            </c:numRef>
          </c:xVal>
          <c:yVal>
            <c:numRef>
              <c:f>Markedstilpasning!$Q$152:$Q$172</c:f>
              <c:numCache>
                <c:formatCode>General</c:formatCode>
                <c:ptCount val="17"/>
                <c:pt idx="0" formatCode="0">
                  <c:v>0</c:v>
                </c:pt>
                <c:pt idx="2" formatCode="0">
                  <c:v>1000000</c:v>
                </c:pt>
                <c:pt idx="4" formatCode="0">
                  <c:v>2000000</c:v>
                </c:pt>
                <c:pt idx="6" formatCode="0">
                  <c:v>3000000</c:v>
                </c:pt>
                <c:pt idx="8" formatCode="0">
                  <c:v>4000000</c:v>
                </c:pt>
                <c:pt idx="10" formatCode="0">
                  <c:v>5000000</c:v>
                </c:pt>
                <c:pt idx="12" formatCode="0">
                  <c:v>6000000</c:v>
                </c:pt>
                <c:pt idx="14" formatCode="0">
                  <c:v>7000000</c:v>
                </c:pt>
                <c:pt idx="16" formatCode="0">
                  <c:v>8000000</c:v>
                </c:pt>
              </c:numCache>
            </c:numRef>
          </c:yVal>
          <c:smooth val="1"/>
        </c:ser>
        <c:ser>
          <c:idx val="3"/>
          <c:order val="3"/>
          <c:spPr>
            <a:ln w="3175">
              <a:solidFill>
                <a:srgbClr val="0000FF"/>
              </a:solidFill>
              <a:prstDash val="sysDash"/>
            </a:ln>
          </c:spPr>
          <c:marker>
            <c:symbol val="none"/>
          </c:marker>
          <c:xVal>
            <c:numRef>
              <c:f>Markedstilpasning!$N$152:$N$172</c:f>
              <c:numCache>
                <c:formatCode>0</c:formatCode>
                <c:ptCount val="17"/>
                <c:pt idx="0">
                  <c:v>0</c:v>
                </c:pt>
                <c:pt idx="1">
                  <c:v>200</c:v>
                </c:pt>
                <c:pt idx="2">
                  <c:v>400</c:v>
                </c:pt>
                <c:pt idx="3">
                  <c:v>600</c:v>
                </c:pt>
                <c:pt idx="4">
                  <c:v>800</c:v>
                </c:pt>
                <c:pt idx="5">
                  <c:v>1000</c:v>
                </c:pt>
                <c:pt idx="6">
                  <c:v>1200</c:v>
                </c:pt>
                <c:pt idx="7">
                  <c:v>1400</c:v>
                </c:pt>
                <c:pt idx="8">
                  <c:v>1600</c:v>
                </c:pt>
                <c:pt idx="9">
                  <c:v>1800</c:v>
                </c:pt>
                <c:pt idx="10">
                  <c:v>2000</c:v>
                </c:pt>
                <c:pt idx="11">
                  <c:v>2200</c:v>
                </c:pt>
                <c:pt idx="12">
                  <c:v>2400</c:v>
                </c:pt>
                <c:pt idx="13">
                  <c:v>2600</c:v>
                </c:pt>
                <c:pt idx="14">
                  <c:v>2800</c:v>
                </c:pt>
                <c:pt idx="15">
                  <c:v>3000</c:v>
                </c:pt>
                <c:pt idx="16">
                  <c:v>3200</c:v>
                </c:pt>
              </c:numCache>
            </c:numRef>
          </c:xVal>
          <c:yVal>
            <c:numRef>
              <c:f>Markedstilpasning!$R$152:$R$172</c:f>
              <c:numCache>
                <c:formatCode>General</c:formatCode>
                <c:ptCount val="17"/>
                <c:pt idx="0" formatCode="0">
                  <c:v>0</c:v>
                </c:pt>
                <c:pt idx="2" formatCode="0">
                  <c:v>1000000</c:v>
                </c:pt>
                <c:pt idx="4" formatCode="0">
                  <c:v>2000000</c:v>
                </c:pt>
                <c:pt idx="6" formatCode="0">
                  <c:v>3000000</c:v>
                </c:pt>
                <c:pt idx="8" formatCode="0">
                  <c:v>4000000</c:v>
                </c:pt>
                <c:pt idx="10" formatCode="0">
                  <c:v>5000000</c:v>
                </c:pt>
                <c:pt idx="12" formatCode="0">
                  <c:v>6000000</c:v>
                </c:pt>
                <c:pt idx="14" formatCode="0">
                  <c:v>7000000</c:v>
                </c:pt>
                <c:pt idx="16" formatCode="0">
                  <c:v>8000000</c:v>
                </c:pt>
              </c:numCache>
            </c:numRef>
          </c:yVal>
          <c:smooth val="1"/>
        </c:ser>
        <c:ser>
          <c:idx val="4"/>
          <c:order val="4"/>
          <c:spPr>
            <a:ln w="3175">
              <a:solidFill>
                <a:srgbClr val="FF0000"/>
              </a:solidFill>
              <a:prstDash val="solid"/>
            </a:ln>
          </c:spPr>
          <c:marker>
            <c:symbol val="none"/>
          </c:marker>
          <c:dLbls>
            <c:dLbl>
              <c:idx val="12"/>
              <c:tx>
                <c:strRef>
                  <c:f>Markedstilpasning!$D$85</c:f>
                  <c:strCache>
                    <c:ptCount val="1"/>
                    <c:pt idx="0">
                      <c:v>Overskudd</c:v>
                    </c:pt>
                  </c:strCache>
                </c:strRef>
              </c:tx>
              <c:spPr>
                <a:noFill/>
                <a:ln w="25400">
                  <a:noFill/>
                </a:ln>
              </c:spPr>
              <c:txPr>
                <a:bodyPr/>
                <a:lstStyle/>
                <a:p>
                  <a:pPr>
                    <a:defRPr sz="825" b="0" i="0" u="none" strike="noStrike" baseline="0">
                      <a:solidFill>
                        <a:srgbClr val="000000"/>
                      </a:solidFill>
                      <a:latin typeface="Times New Roman"/>
                      <a:ea typeface="Times New Roman"/>
                      <a:cs typeface="Times New Roman"/>
                    </a:defRPr>
                  </a:pPr>
                  <a:endParaRPr lang="nb-NO"/>
                </a:p>
              </c:txPr>
            </c:dLbl>
            <c:delete val="1"/>
          </c:dLbls>
          <c:xVal>
            <c:numRef>
              <c:f>Markedstilpasning!$N$152:$N$172</c:f>
              <c:numCache>
                <c:formatCode>0</c:formatCode>
                <c:ptCount val="17"/>
                <c:pt idx="0">
                  <c:v>0</c:v>
                </c:pt>
                <c:pt idx="1">
                  <c:v>200</c:v>
                </c:pt>
                <c:pt idx="2">
                  <c:v>400</c:v>
                </c:pt>
                <c:pt idx="3">
                  <c:v>600</c:v>
                </c:pt>
                <c:pt idx="4">
                  <c:v>800</c:v>
                </c:pt>
                <c:pt idx="5">
                  <c:v>1000</c:v>
                </c:pt>
                <c:pt idx="6">
                  <c:v>1200</c:v>
                </c:pt>
                <c:pt idx="7">
                  <c:v>1400</c:v>
                </c:pt>
                <c:pt idx="8">
                  <c:v>1600</c:v>
                </c:pt>
                <c:pt idx="9">
                  <c:v>1800</c:v>
                </c:pt>
                <c:pt idx="10">
                  <c:v>2000</c:v>
                </c:pt>
                <c:pt idx="11">
                  <c:v>2200</c:v>
                </c:pt>
                <c:pt idx="12">
                  <c:v>2400</c:v>
                </c:pt>
                <c:pt idx="13">
                  <c:v>2600</c:v>
                </c:pt>
                <c:pt idx="14">
                  <c:v>2800</c:v>
                </c:pt>
                <c:pt idx="15">
                  <c:v>3000</c:v>
                </c:pt>
                <c:pt idx="16">
                  <c:v>3200</c:v>
                </c:pt>
              </c:numCache>
            </c:numRef>
          </c:xVal>
          <c:yVal>
            <c:numRef>
              <c:f>Markedstilpasning!$S$152:$S$172</c:f>
              <c:numCache>
                <c:formatCode>General</c:formatCode>
                <c:ptCount val="17"/>
                <c:pt idx="0" formatCode="0">
                  <c:v>-850000</c:v>
                </c:pt>
                <c:pt idx="2" formatCode="0">
                  <c:v>-1170000</c:v>
                </c:pt>
                <c:pt idx="4" formatCode="0">
                  <c:v>-1010000</c:v>
                </c:pt>
                <c:pt idx="6" formatCode="0">
                  <c:v>-490000</c:v>
                </c:pt>
                <c:pt idx="8" formatCode="0">
                  <c:v>110000</c:v>
                </c:pt>
                <c:pt idx="10" formatCode="0">
                  <c:v>550000</c:v>
                </c:pt>
                <c:pt idx="12" formatCode="0">
                  <c:v>590000</c:v>
                </c:pt>
                <c:pt idx="14" formatCode="0">
                  <c:v>-10000</c:v>
                </c:pt>
                <c:pt idx="16" formatCode="0">
                  <c:v>-2130000</c:v>
                </c:pt>
              </c:numCache>
            </c:numRef>
          </c:yVal>
          <c:smooth val="1"/>
        </c:ser>
        <c:ser>
          <c:idx val="5"/>
          <c:order val="5"/>
          <c:spPr>
            <a:ln w="3175">
              <a:solidFill>
                <a:srgbClr val="FF0000"/>
              </a:solidFill>
              <a:prstDash val="sysDash"/>
            </a:ln>
          </c:spPr>
          <c:marker>
            <c:symbol val="none"/>
          </c:marker>
          <c:xVal>
            <c:numRef>
              <c:f>Markedstilpasning!$N$152:$N$172</c:f>
              <c:numCache>
                <c:formatCode>0</c:formatCode>
                <c:ptCount val="17"/>
                <c:pt idx="0">
                  <c:v>0</c:v>
                </c:pt>
                <c:pt idx="1">
                  <c:v>200</c:v>
                </c:pt>
                <c:pt idx="2">
                  <c:v>400</c:v>
                </c:pt>
                <c:pt idx="3">
                  <c:v>600</c:v>
                </c:pt>
                <c:pt idx="4">
                  <c:v>800</c:v>
                </c:pt>
                <c:pt idx="5">
                  <c:v>1000</c:v>
                </c:pt>
                <c:pt idx="6">
                  <c:v>1200</c:v>
                </c:pt>
                <c:pt idx="7">
                  <c:v>1400</c:v>
                </c:pt>
                <c:pt idx="8">
                  <c:v>1600</c:v>
                </c:pt>
                <c:pt idx="9">
                  <c:v>1800</c:v>
                </c:pt>
                <c:pt idx="10">
                  <c:v>2000</c:v>
                </c:pt>
                <c:pt idx="11">
                  <c:v>2200</c:v>
                </c:pt>
                <c:pt idx="12">
                  <c:v>2400</c:v>
                </c:pt>
                <c:pt idx="13">
                  <c:v>2600</c:v>
                </c:pt>
                <c:pt idx="14">
                  <c:v>2800</c:v>
                </c:pt>
                <c:pt idx="15">
                  <c:v>3000</c:v>
                </c:pt>
                <c:pt idx="16">
                  <c:v>3200</c:v>
                </c:pt>
              </c:numCache>
            </c:numRef>
          </c:xVal>
          <c:yVal>
            <c:numRef>
              <c:f>Markedstilpasning!$T$152:$T$172</c:f>
              <c:numCache>
                <c:formatCode>General</c:formatCode>
                <c:ptCount val="17"/>
                <c:pt idx="0" formatCode="0">
                  <c:v>-850000</c:v>
                </c:pt>
                <c:pt idx="2" formatCode="0">
                  <c:v>-1170000</c:v>
                </c:pt>
                <c:pt idx="4" formatCode="0">
                  <c:v>-1010000</c:v>
                </c:pt>
                <c:pt idx="6" formatCode="0">
                  <c:v>-490000</c:v>
                </c:pt>
                <c:pt idx="8" formatCode="0">
                  <c:v>110000</c:v>
                </c:pt>
                <c:pt idx="10" formatCode="0">
                  <c:v>550000</c:v>
                </c:pt>
                <c:pt idx="12" formatCode="0">
                  <c:v>590000</c:v>
                </c:pt>
                <c:pt idx="14" formatCode="0">
                  <c:v>-10000</c:v>
                </c:pt>
                <c:pt idx="16" formatCode="0">
                  <c:v>-2130000</c:v>
                </c:pt>
              </c:numCache>
            </c:numRef>
          </c:yVal>
          <c:smooth val="1"/>
        </c:ser>
        <c:axId val="141258752"/>
        <c:axId val="141261440"/>
      </c:scatterChart>
      <c:valAx>
        <c:axId val="141258752"/>
        <c:scaling>
          <c:orientation val="minMax"/>
        </c:scaling>
        <c:axPos val="b"/>
        <c:minorGridlines>
          <c:spPr>
            <a:ln w="3175">
              <a:solidFill>
                <a:srgbClr val="E3E3E3"/>
              </a:solidFill>
              <a:prstDash val="solid"/>
            </a:ln>
          </c:spPr>
        </c:minorGridlines>
        <c:title>
          <c:tx>
            <c:rich>
              <a:bodyPr/>
              <a:lstStyle/>
              <a:p>
                <a:pPr>
                  <a:defRPr sz="1000" b="1" i="0" u="none" strike="noStrike" baseline="0">
                    <a:solidFill>
                      <a:srgbClr val="000000"/>
                    </a:solidFill>
                    <a:latin typeface="Times New Roman"/>
                    <a:ea typeface="Times New Roman"/>
                    <a:cs typeface="Times New Roman"/>
                  </a:defRPr>
                </a:pPr>
                <a:r>
                  <a:rPr lang="nb-NO"/>
                  <a:t>Mengde</a:t>
                </a:r>
              </a:p>
            </c:rich>
          </c:tx>
          <c:layout>
            <c:manualLayout>
              <c:xMode val="edge"/>
              <c:yMode val="edge"/>
              <c:x val="0.45714285714285746"/>
              <c:y val="0.91895604395604358"/>
            </c:manualLayout>
          </c:layout>
          <c:spPr>
            <a:noFill/>
            <a:ln w="25400">
              <a:noFill/>
            </a:ln>
          </c:spPr>
        </c:title>
        <c:numFmt formatCode="0" sourceLinked="1"/>
        <c:tickLblPos val="nextTo"/>
        <c:spPr>
          <a:ln w="12700">
            <a:solidFill>
              <a:srgbClr val="000000"/>
            </a:solidFill>
            <a:prstDash val="solid"/>
          </a:ln>
        </c:spPr>
        <c:txPr>
          <a:bodyPr rot="0" vert="horz"/>
          <a:lstStyle/>
          <a:p>
            <a:pPr>
              <a:defRPr sz="825" b="0" i="0" u="none" strike="noStrike" baseline="0">
                <a:solidFill>
                  <a:srgbClr val="000000"/>
                </a:solidFill>
                <a:latin typeface="Times New Roman"/>
                <a:ea typeface="Times New Roman"/>
                <a:cs typeface="Times New Roman"/>
              </a:defRPr>
            </a:pPr>
            <a:endParaRPr lang="nb-NO"/>
          </a:p>
        </c:txPr>
        <c:crossAx val="141261440"/>
        <c:crosses val="autoZero"/>
        <c:crossBetween val="midCat"/>
      </c:valAx>
      <c:valAx>
        <c:axId val="141261440"/>
        <c:scaling>
          <c:orientation val="minMax"/>
        </c:scaling>
        <c:axPos val="l"/>
        <c:minorGridlines>
          <c:spPr>
            <a:ln w="3175">
              <a:solidFill>
                <a:srgbClr val="E3E3E3"/>
              </a:solidFill>
              <a:prstDash val="solid"/>
            </a:ln>
          </c:spPr>
        </c:minorGridlines>
        <c:title>
          <c:tx>
            <c:rich>
              <a:bodyPr/>
              <a:lstStyle/>
              <a:p>
                <a:pPr>
                  <a:defRPr sz="1000" b="1" i="0" u="none" strike="noStrike" baseline="0">
                    <a:solidFill>
                      <a:srgbClr val="000000"/>
                    </a:solidFill>
                    <a:latin typeface="Times New Roman"/>
                    <a:ea typeface="Times New Roman"/>
                    <a:cs typeface="Times New Roman"/>
                  </a:defRPr>
                </a:pPr>
                <a:r>
                  <a:rPr lang="nb-NO"/>
                  <a:t>Kroner</a:t>
                </a:r>
              </a:p>
            </c:rich>
          </c:tx>
          <c:layout>
            <c:manualLayout>
              <c:xMode val="edge"/>
              <c:yMode val="edge"/>
              <c:x val="8.9285714285714194E-3"/>
              <c:y val="0.46016483516483547"/>
            </c:manualLayout>
          </c:layout>
          <c:spPr>
            <a:noFill/>
            <a:ln w="25400">
              <a:noFill/>
            </a:ln>
          </c:spPr>
        </c:title>
        <c:numFmt formatCode="0" sourceLinked="1"/>
        <c:tickLblPos val="nextTo"/>
        <c:spPr>
          <a:ln w="3175">
            <a:solidFill>
              <a:srgbClr val="000000"/>
            </a:solidFill>
            <a:prstDash val="solid"/>
          </a:ln>
        </c:spPr>
        <c:txPr>
          <a:bodyPr rot="0" vert="horz"/>
          <a:lstStyle/>
          <a:p>
            <a:pPr>
              <a:defRPr sz="825" b="0" i="0" u="none" strike="noStrike" baseline="0">
                <a:solidFill>
                  <a:srgbClr val="000000"/>
                </a:solidFill>
                <a:latin typeface="Times New Roman"/>
                <a:ea typeface="Times New Roman"/>
                <a:cs typeface="Times New Roman"/>
              </a:defRPr>
            </a:pPr>
            <a:endParaRPr lang="nb-NO"/>
          </a:p>
        </c:txPr>
        <c:crossAx val="141258752"/>
        <c:crosses val="autoZero"/>
        <c:crossBetween val="midCat"/>
      </c:valAx>
      <c:spPr>
        <a:solidFill>
          <a:srgbClr val="FFFFFF"/>
        </a:solidFill>
        <a:ln w="25400">
          <a:noFill/>
        </a:ln>
      </c:spPr>
    </c:plotArea>
    <c:plotVisOnly val="1"/>
    <c:dispBlanksAs val="span"/>
  </c:chart>
  <c:spPr>
    <a:solidFill>
      <a:srgbClr val="FFFFFF"/>
    </a:solidFill>
    <a:ln w="3175">
      <a:solidFill>
        <a:srgbClr val="000000"/>
      </a:solidFill>
      <a:prstDash val="solid"/>
    </a:ln>
    <a:effectLst>
      <a:outerShdw dist="35921" dir="2700000" algn="br">
        <a:srgbClr val="000000"/>
      </a:outerShdw>
    </a:effectLst>
  </c:spPr>
  <c:txPr>
    <a:bodyPr/>
    <a:lstStyle/>
    <a:p>
      <a:pPr>
        <a:defRPr sz="675" b="0" i="0" u="none" strike="noStrike" baseline="0">
          <a:solidFill>
            <a:srgbClr val="000000"/>
          </a:solidFill>
          <a:latin typeface="Times New Roman"/>
          <a:ea typeface="Times New Roman"/>
          <a:cs typeface="Times New Roman"/>
        </a:defRPr>
      </a:pPr>
      <a:endParaRPr lang="nb-NO"/>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nb-NO"/>
  <c:chart>
    <c:title>
      <c:tx>
        <c:rich>
          <a:bodyPr/>
          <a:lstStyle/>
          <a:p>
            <a:pPr>
              <a:defRPr sz="1175" b="1" i="0" u="none" strike="noStrike" baseline="0">
                <a:solidFill>
                  <a:srgbClr val="000000"/>
                </a:solidFill>
                <a:latin typeface="Times New Roman"/>
                <a:ea typeface="Times New Roman"/>
                <a:cs typeface="Times New Roman"/>
              </a:defRPr>
            </a:pPr>
            <a:r>
              <a:rPr lang="nb-NO"/>
              <a:t>Enhetsdiagram</a:t>
            </a:r>
          </a:p>
        </c:rich>
      </c:tx>
      <c:layout>
        <c:manualLayout>
          <c:xMode val="edge"/>
          <c:yMode val="edge"/>
          <c:x val="0.40535714285714286"/>
          <c:y val="6.9348174565067077E-3"/>
        </c:manualLayout>
      </c:layout>
      <c:spPr>
        <a:noFill/>
        <a:ln w="25400">
          <a:noFill/>
        </a:ln>
      </c:spPr>
    </c:title>
    <c:plotArea>
      <c:layout>
        <c:manualLayout>
          <c:layoutTarget val="inner"/>
          <c:xMode val="edge"/>
          <c:yMode val="edge"/>
          <c:x val="8.5714285714285715E-2"/>
          <c:y val="0.16227472848225688"/>
          <c:w val="0.83750000000000002"/>
          <c:h val="0.7461863583201217"/>
        </c:manualLayout>
      </c:layout>
      <c:scatterChart>
        <c:scatterStyle val="smoothMarker"/>
        <c:ser>
          <c:idx val="0"/>
          <c:order val="0"/>
          <c:spPr>
            <a:ln w="3175">
              <a:solidFill>
                <a:srgbClr val="000080"/>
              </a:solidFill>
              <a:prstDash val="solid"/>
            </a:ln>
          </c:spPr>
          <c:marker>
            <c:symbol val="none"/>
          </c:marker>
          <c:dLbls>
            <c:dLbl>
              <c:idx val="1"/>
              <c:layout>
                <c:manualLayout>
                  <c:x val="-1.8925542981433029E-2"/>
                  <c:y val="-2.8745169230083793E-2"/>
                </c:manualLayout>
              </c:layout>
              <c:tx>
                <c:strRef>
                  <c:f>Markedstilpasning!$C$83</c:f>
                  <c:strCache>
                    <c:ptCount val="1"/>
                    <c:pt idx="0">
                      <c:v>SEK</c:v>
                    </c:pt>
                  </c:strCache>
                </c:strRef>
              </c:tx>
              <c:spPr>
                <a:noFill/>
                <a:ln w="25400">
                  <a:noFill/>
                </a:ln>
              </c:spPr>
              <c:txPr>
                <a:bodyPr/>
                <a:lstStyle/>
                <a:p>
                  <a:pPr>
                    <a:defRPr sz="725" b="0" i="0" u="none" strike="noStrike" baseline="0">
                      <a:solidFill>
                        <a:srgbClr val="000000"/>
                      </a:solidFill>
                      <a:latin typeface="Times New Roman"/>
                      <a:ea typeface="Times New Roman"/>
                      <a:cs typeface="Times New Roman"/>
                    </a:defRPr>
                  </a:pPr>
                  <a:endParaRPr lang="nb-NO"/>
                </a:p>
              </c:txPr>
              <c:dLblPos val="r"/>
            </c:dLbl>
            <c:delete val="1"/>
          </c:dLbls>
          <c:xVal>
            <c:numRef>
              <c:f>Markedstilpasning!$B$153:$B$172</c:f>
              <c:numCache>
                <c:formatCode>0</c:formatCode>
                <c:ptCount val="16"/>
                <c:pt idx="0">
                  <c:v>200</c:v>
                </c:pt>
                <c:pt idx="1">
                  <c:v>400</c:v>
                </c:pt>
                <c:pt idx="2">
                  <c:v>600</c:v>
                </c:pt>
                <c:pt idx="3">
                  <c:v>800</c:v>
                </c:pt>
                <c:pt idx="4">
                  <c:v>1000</c:v>
                </c:pt>
                <c:pt idx="5">
                  <c:v>1200</c:v>
                </c:pt>
                <c:pt idx="6">
                  <c:v>1400</c:v>
                </c:pt>
                <c:pt idx="7">
                  <c:v>1600</c:v>
                </c:pt>
                <c:pt idx="8">
                  <c:v>1800</c:v>
                </c:pt>
                <c:pt idx="9">
                  <c:v>2000</c:v>
                </c:pt>
                <c:pt idx="10">
                  <c:v>2200</c:v>
                </c:pt>
                <c:pt idx="11">
                  <c:v>2400</c:v>
                </c:pt>
                <c:pt idx="12">
                  <c:v>2600</c:v>
                </c:pt>
                <c:pt idx="13">
                  <c:v>2800</c:v>
                </c:pt>
                <c:pt idx="14">
                  <c:v>3000</c:v>
                </c:pt>
                <c:pt idx="15">
                  <c:v>3200</c:v>
                </c:pt>
              </c:numCache>
            </c:numRef>
          </c:xVal>
          <c:yVal>
            <c:numRef>
              <c:f>Markedstilpasning!$C$153:$C$172</c:f>
              <c:numCache>
                <c:formatCode>0</c:formatCode>
                <c:ptCount val="16"/>
                <c:pt idx="1">
                  <c:v>5425</c:v>
                </c:pt>
                <c:pt idx="3">
                  <c:v>3762.5</c:v>
                </c:pt>
                <c:pt idx="5">
                  <c:v>2908.3333333333348</c:v>
                </c:pt>
                <c:pt idx="7">
                  <c:v>2431.25</c:v>
                </c:pt>
                <c:pt idx="9">
                  <c:v>2225</c:v>
                </c:pt>
                <c:pt idx="11">
                  <c:v>2254.1666666666656</c:v>
                </c:pt>
                <c:pt idx="13">
                  <c:v>2503.5714285714294</c:v>
                </c:pt>
                <c:pt idx="15">
                  <c:v>3165.625</c:v>
                </c:pt>
              </c:numCache>
            </c:numRef>
          </c:yVal>
          <c:smooth val="1"/>
        </c:ser>
        <c:ser>
          <c:idx val="2"/>
          <c:order val="1"/>
          <c:spPr>
            <a:ln w="3175">
              <a:solidFill>
                <a:srgbClr val="008000"/>
              </a:solidFill>
              <a:prstDash val="solid"/>
            </a:ln>
          </c:spPr>
          <c:marker>
            <c:symbol val="none"/>
          </c:marker>
          <c:dLbls>
            <c:dLbl>
              <c:idx val="1"/>
              <c:layout>
                <c:manualLayout>
                  <c:x val="-3.3223416088372135E-2"/>
                  <c:y val="-3.669773951523389E-2"/>
                </c:manualLayout>
              </c:layout>
              <c:tx>
                <c:strRef>
                  <c:f>Markedstilpasning!$C$86</c:f>
                  <c:strCache>
                    <c:ptCount val="1"/>
                    <c:pt idx="0">
                      <c:v>VEK</c:v>
                    </c:pt>
                  </c:strCache>
                </c:strRef>
              </c:tx>
              <c:spPr>
                <a:noFill/>
                <a:ln w="25400">
                  <a:noFill/>
                </a:ln>
              </c:spPr>
              <c:txPr>
                <a:bodyPr/>
                <a:lstStyle/>
                <a:p>
                  <a:pPr>
                    <a:defRPr sz="725" b="0" i="0" u="none" strike="noStrike" baseline="0">
                      <a:solidFill>
                        <a:srgbClr val="000000"/>
                      </a:solidFill>
                      <a:latin typeface="Times New Roman"/>
                      <a:ea typeface="Times New Roman"/>
                      <a:cs typeface="Times New Roman"/>
                    </a:defRPr>
                  </a:pPr>
                  <a:endParaRPr lang="nb-NO"/>
                </a:p>
              </c:txPr>
              <c:dLblPos val="r"/>
            </c:dLbl>
            <c:delete val="1"/>
          </c:dLbls>
          <c:xVal>
            <c:numRef>
              <c:f>Markedstilpasning!$B$153:$B$172</c:f>
              <c:numCache>
                <c:formatCode>0</c:formatCode>
                <c:ptCount val="16"/>
                <c:pt idx="0">
                  <c:v>200</c:v>
                </c:pt>
                <c:pt idx="1">
                  <c:v>400</c:v>
                </c:pt>
                <c:pt idx="2">
                  <c:v>600</c:v>
                </c:pt>
                <c:pt idx="3">
                  <c:v>800</c:v>
                </c:pt>
                <c:pt idx="4">
                  <c:v>1000</c:v>
                </c:pt>
                <c:pt idx="5">
                  <c:v>1200</c:v>
                </c:pt>
                <c:pt idx="6">
                  <c:v>1400</c:v>
                </c:pt>
                <c:pt idx="7">
                  <c:v>1600</c:v>
                </c:pt>
                <c:pt idx="8">
                  <c:v>1800</c:v>
                </c:pt>
                <c:pt idx="9">
                  <c:v>2000</c:v>
                </c:pt>
                <c:pt idx="10">
                  <c:v>2200</c:v>
                </c:pt>
                <c:pt idx="11">
                  <c:v>2400</c:v>
                </c:pt>
                <c:pt idx="12">
                  <c:v>2600</c:v>
                </c:pt>
                <c:pt idx="13">
                  <c:v>2800</c:v>
                </c:pt>
                <c:pt idx="14">
                  <c:v>3000</c:v>
                </c:pt>
                <c:pt idx="15">
                  <c:v>3200</c:v>
                </c:pt>
              </c:numCache>
            </c:numRef>
          </c:xVal>
          <c:yVal>
            <c:numRef>
              <c:f>Markedstilpasning!$E$153:$E$172</c:f>
              <c:numCache>
                <c:formatCode>0</c:formatCode>
                <c:ptCount val="16"/>
                <c:pt idx="1">
                  <c:v>3300</c:v>
                </c:pt>
                <c:pt idx="3">
                  <c:v>2700</c:v>
                </c:pt>
                <c:pt idx="5">
                  <c:v>2200</c:v>
                </c:pt>
                <c:pt idx="7">
                  <c:v>1900</c:v>
                </c:pt>
                <c:pt idx="9">
                  <c:v>1800</c:v>
                </c:pt>
                <c:pt idx="11">
                  <c:v>1900</c:v>
                </c:pt>
                <c:pt idx="13">
                  <c:v>2200</c:v>
                </c:pt>
                <c:pt idx="15">
                  <c:v>2900</c:v>
                </c:pt>
              </c:numCache>
            </c:numRef>
          </c:yVal>
          <c:smooth val="1"/>
        </c:ser>
        <c:ser>
          <c:idx val="3"/>
          <c:order val="2"/>
          <c:spPr>
            <a:ln w="3175">
              <a:solidFill>
                <a:srgbClr val="008000"/>
              </a:solidFill>
              <a:prstDash val="sysDash"/>
            </a:ln>
          </c:spPr>
          <c:marker>
            <c:symbol val="none"/>
          </c:marker>
          <c:xVal>
            <c:numRef>
              <c:f>Markedstilpasning!$B$152:$B$172</c:f>
              <c:numCache>
                <c:formatCode>0</c:formatCode>
                <c:ptCount val="17"/>
                <c:pt idx="0">
                  <c:v>0</c:v>
                </c:pt>
                <c:pt idx="1">
                  <c:v>200</c:v>
                </c:pt>
                <c:pt idx="2">
                  <c:v>400</c:v>
                </c:pt>
                <c:pt idx="3">
                  <c:v>600</c:v>
                </c:pt>
                <c:pt idx="4">
                  <c:v>800</c:v>
                </c:pt>
                <c:pt idx="5">
                  <c:v>1000</c:v>
                </c:pt>
                <c:pt idx="6">
                  <c:v>1200</c:v>
                </c:pt>
                <c:pt idx="7">
                  <c:v>1400</c:v>
                </c:pt>
                <c:pt idx="8">
                  <c:v>1600</c:v>
                </c:pt>
                <c:pt idx="9">
                  <c:v>1800</c:v>
                </c:pt>
                <c:pt idx="10">
                  <c:v>2000</c:v>
                </c:pt>
                <c:pt idx="11">
                  <c:v>2200</c:v>
                </c:pt>
                <c:pt idx="12">
                  <c:v>2400</c:v>
                </c:pt>
                <c:pt idx="13">
                  <c:v>2600</c:v>
                </c:pt>
                <c:pt idx="14">
                  <c:v>2800</c:v>
                </c:pt>
                <c:pt idx="15">
                  <c:v>3000</c:v>
                </c:pt>
                <c:pt idx="16">
                  <c:v>3200</c:v>
                </c:pt>
              </c:numCache>
            </c:numRef>
          </c:xVal>
          <c:yVal>
            <c:numRef>
              <c:f>Markedstilpasning!$F$152:$F$172</c:f>
              <c:numCache>
                <c:formatCode>General</c:formatCode>
                <c:ptCount val="17"/>
                <c:pt idx="2" formatCode="0">
                  <c:v>0</c:v>
                </c:pt>
                <c:pt idx="4" formatCode="0">
                  <c:v>0</c:v>
                </c:pt>
                <c:pt idx="6" formatCode="0">
                  <c:v>0</c:v>
                </c:pt>
                <c:pt idx="8" formatCode="0">
                  <c:v>0</c:v>
                </c:pt>
                <c:pt idx="10" formatCode="0">
                  <c:v>0</c:v>
                </c:pt>
                <c:pt idx="12" formatCode="0">
                  <c:v>0</c:v>
                </c:pt>
                <c:pt idx="14" formatCode="0">
                  <c:v>0</c:v>
                </c:pt>
                <c:pt idx="16" formatCode="0">
                  <c:v>0</c:v>
                </c:pt>
              </c:numCache>
            </c:numRef>
          </c:yVal>
          <c:smooth val="1"/>
        </c:ser>
        <c:ser>
          <c:idx val="4"/>
          <c:order val="3"/>
          <c:spPr>
            <a:ln w="3175">
              <a:solidFill>
                <a:srgbClr val="000000"/>
              </a:solidFill>
              <a:prstDash val="solid"/>
            </a:ln>
          </c:spPr>
          <c:marker>
            <c:symbol val="none"/>
          </c:marker>
          <c:dLbls>
            <c:dLbl>
              <c:idx val="0"/>
              <c:layout>
                <c:manualLayout>
                  <c:x val="-4.4940729499251708E-2"/>
                  <c:y val="-2.9085522725500912E-2"/>
                </c:manualLayout>
              </c:layout>
              <c:tx>
                <c:strRef>
                  <c:f>Markedstilpasning!$C$87</c:f>
                  <c:strCache>
                    <c:ptCount val="1"/>
                    <c:pt idx="0">
                      <c:v>DEK</c:v>
                    </c:pt>
                  </c:strCache>
                </c:strRef>
              </c:tx>
              <c:spPr>
                <a:noFill/>
                <a:ln w="25400">
                  <a:noFill/>
                </a:ln>
              </c:spPr>
              <c:txPr>
                <a:bodyPr/>
                <a:lstStyle/>
                <a:p>
                  <a:pPr>
                    <a:defRPr sz="725" b="0" i="0" u="none" strike="noStrike" baseline="0">
                      <a:solidFill>
                        <a:srgbClr val="000000"/>
                      </a:solidFill>
                      <a:latin typeface="Times New Roman"/>
                      <a:ea typeface="Times New Roman"/>
                      <a:cs typeface="Times New Roman"/>
                    </a:defRPr>
                  </a:pPr>
                  <a:endParaRPr lang="nb-NO"/>
                </a:p>
              </c:txPr>
              <c:dLblPos val="r"/>
            </c:dLbl>
            <c:delete val="1"/>
          </c:dLbls>
          <c:xVal>
            <c:numRef>
              <c:f>Markedstilpasning!$B$153:$B$172</c:f>
              <c:numCache>
                <c:formatCode>0</c:formatCode>
                <c:ptCount val="16"/>
                <c:pt idx="0">
                  <c:v>200</c:v>
                </c:pt>
                <c:pt idx="1">
                  <c:v>400</c:v>
                </c:pt>
                <c:pt idx="2">
                  <c:v>600</c:v>
                </c:pt>
                <c:pt idx="3">
                  <c:v>800</c:v>
                </c:pt>
                <c:pt idx="4">
                  <c:v>1000</c:v>
                </c:pt>
                <c:pt idx="5">
                  <c:v>1200</c:v>
                </c:pt>
                <c:pt idx="6">
                  <c:v>1400</c:v>
                </c:pt>
                <c:pt idx="7">
                  <c:v>1600</c:v>
                </c:pt>
                <c:pt idx="8">
                  <c:v>1800</c:v>
                </c:pt>
                <c:pt idx="9">
                  <c:v>2000</c:v>
                </c:pt>
                <c:pt idx="10">
                  <c:v>2200</c:v>
                </c:pt>
                <c:pt idx="11">
                  <c:v>2400</c:v>
                </c:pt>
                <c:pt idx="12">
                  <c:v>2600</c:v>
                </c:pt>
                <c:pt idx="13">
                  <c:v>2800</c:v>
                </c:pt>
                <c:pt idx="14">
                  <c:v>3000</c:v>
                </c:pt>
                <c:pt idx="15">
                  <c:v>3200</c:v>
                </c:pt>
              </c:numCache>
            </c:numRef>
          </c:xVal>
          <c:yVal>
            <c:numRef>
              <c:f>Markedstilpasning!$G$153:$G$172</c:f>
              <c:numCache>
                <c:formatCode>General</c:formatCode>
                <c:ptCount val="16"/>
                <c:pt idx="0" formatCode="0">
                  <c:v>3300</c:v>
                </c:pt>
                <c:pt idx="2" formatCode="0">
                  <c:v>2100</c:v>
                </c:pt>
                <c:pt idx="4" formatCode="0">
                  <c:v>1200</c:v>
                </c:pt>
                <c:pt idx="6" formatCode="0">
                  <c:v>1000</c:v>
                </c:pt>
                <c:pt idx="8" formatCode="0">
                  <c:v>1400</c:v>
                </c:pt>
                <c:pt idx="10" formatCode="0">
                  <c:v>2399.9999999999977</c:v>
                </c:pt>
                <c:pt idx="12" formatCode="0">
                  <c:v>4000.0000000000023</c:v>
                </c:pt>
                <c:pt idx="14" formatCode="0">
                  <c:v>7800</c:v>
                </c:pt>
              </c:numCache>
            </c:numRef>
          </c:yVal>
          <c:smooth val="1"/>
        </c:ser>
        <c:ser>
          <c:idx val="5"/>
          <c:order val="4"/>
          <c:spPr>
            <a:ln w="3175">
              <a:solidFill>
                <a:srgbClr val="000000"/>
              </a:solidFill>
              <a:prstDash val="sysDash"/>
            </a:ln>
          </c:spPr>
          <c:marker>
            <c:symbol val="none"/>
          </c:marker>
          <c:xVal>
            <c:numRef>
              <c:f>Markedstilpasning!$B$152:$B$172</c:f>
              <c:numCache>
                <c:formatCode>0</c:formatCode>
                <c:ptCount val="17"/>
                <c:pt idx="0">
                  <c:v>0</c:v>
                </c:pt>
                <c:pt idx="1">
                  <c:v>200</c:v>
                </c:pt>
                <c:pt idx="2">
                  <c:v>400</c:v>
                </c:pt>
                <c:pt idx="3">
                  <c:v>600</c:v>
                </c:pt>
                <c:pt idx="4">
                  <c:v>800</c:v>
                </c:pt>
                <c:pt idx="5">
                  <c:v>1000</c:v>
                </c:pt>
                <c:pt idx="6">
                  <c:v>1200</c:v>
                </c:pt>
                <c:pt idx="7">
                  <c:v>1400</c:v>
                </c:pt>
                <c:pt idx="8">
                  <c:v>1600</c:v>
                </c:pt>
                <c:pt idx="9">
                  <c:v>1800</c:v>
                </c:pt>
                <c:pt idx="10">
                  <c:v>2000</c:v>
                </c:pt>
                <c:pt idx="11">
                  <c:v>2200</c:v>
                </c:pt>
                <c:pt idx="12">
                  <c:v>2400</c:v>
                </c:pt>
                <c:pt idx="13">
                  <c:v>2600</c:v>
                </c:pt>
                <c:pt idx="14">
                  <c:v>2800</c:v>
                </c:pt>
                <c:pt idx="15">
                  <c:v>3000</c:v>
                </c:pt>
                <c:pt idx="16">
                  <c:v>3200</c:v>
                </c:pt>
              </c:numCache>
            </c:numRef>
          </c:xVal>
          <c:yVal>
            <c:numRef>
              <c:f>Markedstilpasning!$H$152:$H$172</c:f>
              <c:numCache>
                <c:formatCode>0</c:formatCode>
                <c:ptCount val="17"/>
                <c:pt idx="1">
                  <c:v>0</c:v>
                </c:pt>
                <c:pt idx="3">
                  <c:v>0</c:v>
                </c:pt>
                <c:pt idx="5">
                  <c:v>0</c:v>
                </c:pt>
                <c:pt idx="7">
                  <c:v>0</c:v>
                </c:pt>
                <c:pt idx="9">
                  <c:v>0</c:v>
                </c:pt>
                <c:pt idx="11">
                  <c:v>0</c:v>
                </c:pt>
                <c:pt idx="13">
                  <c:v>0</c:v>
                </c:pt>
                <c:pt idx="15">
                  <c:v>0</c:v>
                </c:pt>
              </c:numCache>
            </c:numRef>
          </c:yVal>
          <c:smooth val="1"/>
        </c:ser>
        <c:ser>
          <c:idx val="6"/>
          <c:order val="5"/>
          <c:spPr>
            <a:ln w="3175">
              <a:solidFill>
                <a:srgbClr val="FF0000"/>
              </a:solidFill>
              <a:prstDash val="solid"/>
            </a:ln>
          </c:spPr>
          <c:marker>
            <c:symbol val="none"/>
          </c:marker>
          <c:dLbls>
            <c:dLbl>
              <c:idx val="1"/>
              <c:layout>
                <c:manualLayout>
                  <c:x val="-9.3986374614783028E-2"/>
                  <c:y val="4.4903347477604896E-2"/>
                </c:manualLayout>
              </c:layout>
              <c:tx>
                <c:strRef>
                  <c:f>Markedstilpasning!$C$84</c:f>
                  <c:strCache>
                    <c:ptCount val="1"/>
                    <c:pt idx="0">
                      <c:v>Pris</c:v>
                    </c:pt>
                  </c:strCache>
                </c:strRef>
              </c:tx>
              <c:spPr>
                <a:noFill/>
                <a:ln w="25400">
                  <a:noFill/>
                </a:ln>
              </c:spPr>
              <c:txPr>
                <a:bodyPr/>
                <a:lstStyle/>
                <a:p>
                  <a:pPr>
                    <a:defRPr sz="725" b="0" i="0" u="none" strike="noStrike" baseline="0">
                      <a:solidFill>
                        <a:srgbClr val="000000"/>
                      </a:solidFill>
                      <a:latin typeface="Times New Roman"/>
                      <a:ea typeface="Times New Roman"/>
                      <a:cs typeface="Times New Roman"/>
                    </a:defRPr>
                  </a:pPr>
                  <a:endParaRPr lang="nb-NO"/>
                </a:p>
              </c:txPr>
              <c:dLblPos val="r"/>
            </c:dLbl>
            <c:delete val="1"/>
          </c:dLbls>
          <c:xVal>
            <c:numRef>
              <c:f>Markedstilpasning!$B$153:$B$172</c:f>
              <c:numCache>
                <c:formatCode>0</c:formatCode>
                <c:ptCount val="16"/>
                <c:pt idx="0">
                  <c:v>200</c:v>
                </c:pt>
                <c:pt idx="1">
                  <c:v>400</c:v>
                </c:pt>
                <c:pt idx="2">
                  <c:v>600</c:v>
                </c:pt>
                <c:pt idx="3">
                  <c:v>800</c:v>
                </c:pt>
                <c:pt idx="4">
                  <c:v>1000</c:v>
                </c:pt>
                <c:pt idx="5">
                  <c:v>1200</c:v>
                </c:pt>
                <c:pt idx="6">
                  <c:v>1400</c:v>
                </c:pt>
                <c:pt idx="7">
                  <c:v>1600</c:v>
                </c:pt>
                <c:pt idx="8">
                  <c:v>1800</c:v>
                </c:pt>
                <c:pt idx="9">
                  <c:v>2000</c:v>
                </c:pt>
                <c:pt idx="10">
                  <c:v>2200</c:v>
                </c:pt>
                <c:pt idx="11">
                  <c:v>2400</c:v>
                </c:pt>
                <c:pt idx="12">
                  <c:v>2600</c:v>
                </c:pt>
                <c:pt idx="13">
                  <c:v>2800</c:v>
                </c:pt>
                <c:pt idx="14">
                  <c:v>3000</c:v>
                </c:pt>
                <c:pt idx="15">
                  <c:v>3200</c:v>
                </c:pt>
              </c:numCache>
            </c:numRef>
          </c:xVal>
          <c:yVal>
            <c:numRef>
              <c:f>Markedstilpasning!$I$153:$I$172</c:f>
              <c:numCache>
                <c:formatCode>0</c:formatCode>
                <c:ptCount val="16"/>
                <c:pt idx="1">
                  <c:v>2500</c:v>
                </c:pt>
                <c:pt idx="3">
                  <c:v>2500</c:v>
                </c:pt>
                <c:pt idx="5">
                  <c:v>2500</c:v>
                </c:pt>
                <c:pt idx="7">
                  <c:v>2500</c:v>
                </c:pt>
                <c:pt idx="9">
                  <c:v>2500</c:v>
                </c:pt>
                <c:pt idx="11">
                  <c:v>2500</c:v>
                </c:pt>
                <c:pt idx="13">
                  <c:v>2500</c:v>
                </c:pt>
                <c:pt idx="15">
                  <c:v>2500</c:v>
                </c:pt>
              </c:numCache>
            </c:numRef>
          </c:yVal>
          <c:smooth val="1"/>
        </c:ser>
        <c:ser>
          <c:idx val="7"/>
          <c:order val="6"/>
          <c:spPr>
            <a:ln w="3175">
              <a:solidFill>
                <a:srgbClr val="FF0000"/>
              </a:solidFill>
              <a:prstDash val="sysDash"/>
            </a:ln>
          </c:spPr>
          <c:marker>
            <c:symbol val="none"/>
          </c:marker>
          <c:xVal>
            <c:numRef>
              <c:f>Markedstilpasning!$B$152:$B$172</c:f>
              <c:numCache>
                <c:formatCode>0</c:formatCode>
                <c:ptCount val="17"/>
                <c:pt idx="0">
                  <c:v>0</c:v>
                </c:pt>
                <c:pt idx="1">
                  <c:v>200</c:v>
                </c:pt>
                <c:pt idx="2">
                  <c:v>400</c:v>
                </c:pt>
                <c:pt idx="3">
                  <c:v>600</c:v>
                </c:pt>
                <c:pt idx="4">
                  <c:v>800</c:v>
                </c:pt>
                <c:pt idx="5">
                  <c:v>1000</c:v>
                </c:pt>
                <c:pt idx="6">
                  <c:v>1200</c:v>
                </c:pt>
                <c:pt idx="7">
                  <c:v>1400</c:v>
                </c:pt>
                <c:pt idx="8">
                  <c:v>1600</c:v>
                </c:pt>
                <c:pt idx="9">
                  <c:v>1800</c:v>
                </c:pt>
                <c:pt idx="10">
                  <c:v>2000</c:v>
                </c:pt>
                <c:pt idx="11">
                  <c:v>2200</c:v>
                </c:pt>
                <c:pt idx="12">
                  <c:v>2400</c:v>
                </c:pt>
                <c:pt idx="13">
                  <c:v>2600</c:v>
                </c:pt>
                <c:pt idx="14">
                  <c:v>2800</c:v>
                </c:pt>
                <c:pt idx="15">
                  <c:v>3000</c:v>
                </c:pt>
                <c:pt idx="16">
                  <c:v>3200</c:v>
                </c:pt>
              </c:numCache>
            </c:numRef>
          </c:xVal>
          <c:yVal>
            <c:numRef>
              <c:f>Markedstilpasning!$J$152:$J$172</c:f>
              <c:numCache>
                <c:formatCode>General</c:formatCode>
                <c:ptCount val="17"/>
                <c:pt idx="2" formatCode="0">
                  <c:v>0</c:v>
                </c:pt>
                <c:pt idx="4" formatCode="0">
                  <c:v>0</c:v>
                </c:pt>
                <c:pt idx="6" formatCode="0">
                  <c:v>0</c:v>
                </c:pt>
                <c:pt idx="8" formatCode="0">
                  <c:v>0</c:v>
                </c:pt>
                <c:pt idx="10" formatCode="0">
                  <c:v>0</c:v>
                </c:pt>
                <c:pt idx="12" formatCode="0">
                  <c:v>0</c:v>
                </c:pt>
                <c:pt idx="14" formatCode="0">
                  <c:v>0</c:v>
                </c:pt>
                <c:pt idx="16" formatCode="0">
                  <c:v>0</c:v>
                </c:pt>
              </c:numCache>
            </c:numRef>
          </c:yVal>
          <c:smooth val="1"/>
        </c:ser>
        <c:ser>
          <c:idx val="8"/>
          <c:order val="7"/>
          <c:spPr>
            <a:ln w="3175">
              <a:solidFill>
                <a:srgbClr val="FF0000"/>
              </a:solidFill>
              <a:prstDash val="solid"/>
            </a:ln>
          </c:spPr>
          <c:marker>
            <c:symbol val="none"/>
          </c:marker>
          <c:dLbls>
            <c:dLbl>
              <c:idx val="0"/>
              <c:layout>
                <c:manualLayout>
                  <c:x val="1.2250781692117638E-2"/>
                  <c:y val="0.26234983424495295"/>
                </c:manualLayout>
              </c:layout>
              <c:tx>
                <c:strRef>
                  <c:f>Markedstilpasning!$C$85</c:f>
                  <c:strCache>
                    <c:ptCount val="1"/>
                  </c:strCache>
                </c:strRef>
              </c:tx>
              <c:spPr>
                <a:noFill/>
                <a:ln w="25400">
                  <a:noFill/>
                </a:ln>
              </c:spPr>
              <c:txPr>
                <a:bodyPr/>
                <a:lstStyle/>
                <a:p>
                  <a:pPr>
                    <a:defRPr sz="725" b="0" i="0" u="none" strike="noStrike" baseline="0">
                      <a:solidFill>
                        <a:srgbClr val="000000"/>
                      </a:solidFill>
                      <a:latin typeface="Times New Roman"/>
                      <a:ea typeface="Times New Roman"/>
                      <a:cs typeface="Times New Roman"/>
                    </a:defRPr>
                  </a:pPr>
                  <a:endParaRPr lang="nb-NO"/>
                </a:p>
              </c:txPr>
              <c:dLblPos val="r"/>
            </c:dLbl>
            <c:delete val="1"/>
          </c:dLbls>
          <c:xVal>
            <c:numRef>
              <c:f>Markedstilpasning!$B$153:$B$172</c:f>
              <c:numCache>
                <c:formatCode>0</c:formatCode>
                <c:ptCount val="16"/>
                <c:pt idx="0">
                  <c:v>200</c:v>
                </c:pt>
                <c:pt idx="1">
                  <c:v>400</c:v>
                </c:pt>
                <c:pt idx="2">
                  <c:v>600</c:v>
                </c:pt>
                <c:pt idx="3">
                  <c:v>800</c:v>
                </c:pt>
                <c:pt idx="4">
                  <c:v>1000</c:v>
                </c:pt>
                <c:pt idx="5">
                  <c:v>1200</c:v>
                </c:pt>
                <c:pt idx="6">
                  <c:v>1400</c:v>
                </c:pt>
                <c:pt idx="7">
                  <c:v>1600</c:v>
                </c:pt>
                <c:pt idx="8">
                  <c:v>1800</c:v>
                </c:pt>
                <c:pt idx="9">
                  <c:v>2000</c:v>
                </c:pt>
                <c:pt idx="10">
                  <c:v>2200</c:v>
                </c:pt>
                <c:pt idx="11">
                  <c:v>2400</c:v>
                </c:pt>
                <c:pt idx="12">
                  <c:v>2600</c:v>
                </c:pt>
                <c:pt idx="13">
                  <c:v>2800</c:v>
                </c:pt>
                <c:pt idx="14">
                  <c:v>3000</c:v>
                </c:pt>
                <c:pt idx="15">
                  <c:v>3200</c:v>
                </c:pt>
              </c:numCache>
            </c:numRef>
          </c:xVal>
          <c:yVal>
            <c:numRef>
              <c:f>Markedstilpasning!$K$153:$K$172</c:f>
              <c:numCache>
                <c:formatCode>General</c:formatCode>
                <c:ptCount val="16"/>
                <c:pt idx="0" formatCode="0">
                  <c:v>2500</c:v>
                </c:pt>
                <c:pt idx="2" formatCode="0">
                  <c:v>2500</c:v>
                </c:pt>
                <c:pt idx="4" formatCode="0">
                  <c:v>2500</c:v>
                </c:pt>
                <c:pt idx="6" formatCode="0">
                  <c:v>2500</c:v>
                </c:pt>
                <c:pt idx="8" formatCode="0">
                  <c:v>2500</c:v>
                </c:pt>
                <c:pt idx="10" formatCode="0">
                  <c:v>2500</c:v>
                </c:pt>
                <c:pt idx="12" formatCode="0">
                  <c:v>2500</c:v>
                </c:pt>
                <c:pt idx="14" formatCode="0">
                  <c:v>2500</c:v>
                </c:pt>
              </c:numCache>
            </c:numRef>
          </c:yVal>
          <c:smooth val="1"/>
        </c:ser>
        <c:ser>
          <c:idx val="9"/>
          <c:order val="8"/>
          <c:spPr>
            <a:ln w="3175">
              <a:solidFill>
                <a:srgbClr val="FF0000"/>
              </a:solidFill>
              <a:prstDash val="sysDash"/>
            </a:ln>
          </c:spPr>
          <c:marker>
            <c:symbol val="none"/>
          </c:marker>
          <c:xVal>
            <c:numRef>
              <c:f>Markedstilpasning!$B$152:$B$172</c:f>
              <c:numCache>
                <c:formatCode>0</c:formatCode>
                <c:ptCount val="17"/>
                <c:pt idx="0">
                  <c:v>0</c:v>
                </c:pt>
                <c:pt idx="1">
                  <c:v>200</c:v>
                </c:pt>
                <c:pt idx="2">
                  <c:v>400</c:v>
                </c:pt>
                <c:pt idx="3">
                  <c:v>600</c:v>
                </c:pt>
                <c:pt idx="4">
                  <c:v>800</c:v>
                </c:pt>
                <c:pt idx="5">
                  <c:v>1000</c:v>
                </c:pt>
                <c:pt idx="6">
                  <c:v>1200</c:v>
                </c:pt>
                <c:pt idx="7">
                  <c:v>1400</c:v>
                </c:pt>
                <c:pt idx="8">
                  <c:v>1600</c:v>
                </c:pt>
                <c:pt idx="9">
                  <c:v>1800</c:v>
                </c:pt>
                <c:pt idx="10">
                  <c:v>2000</c:v>
                </c:pt>
                <c:pt idx="11">
                  <c:v>2200</c:v>
                </c:pt>
                <c:pt idx="12">
                  <c:v>2400</c:v>
                </c:pt>
                <c:pt idx="13">
                  <c:v>2600</c:v>
                </c:pt>
                <c:pt idx="14">
                  <c:v>2800</c:v>
                </c:pt>
                <c:pt idx="15">
                  <c:v>3000</c:v>
                </c:pt>
                <c:pt idx="16">
                  <c:v>3200</c:v>
                </c:pt>
              </c:numCache>
            </c:numRef>
          </c:xVal>
          <c:yVal>
            <c:numRef>
              <c:f>Markedstilpasning!$L$152:$L$172</c:f>
              <c:numCache>
                <c:formatCode>0</c:formatCode>
                <c:ptCount val="17"/>
                <c:pt idx="1">
                  <c:v>0</c:v>
                </c:pt>
                <c:pt idx="3">
                  <c:v>0</c:v>
                </c:pt>
                <c:pt idx="5">
                  <c:v>0</c:v>
                </c:pt>
                <c:pt idx="7">
                  <c:v>0</c:v>
                </c:pt>
                <c:pt idx="9">
                  <c:v>0</c:v>
                </c:pt>
                <c:pt idx="11">
                  <c:v>0</c:v>
                </c:pt>
                <c:pt idx="13">
                  <c:v>0</c:v>
                </c:pt>
                <c:pt idx="15">
                  <c:v>0</c:v>
                </c:pt>
              </c:numCache>
            </c:numRef>
          </c:yVal>
          <c:smooth val="1"/>
        </c:ser>
        <c:ser>
          <c:idx val="10"/>
          <c:order val="9"/>
          <c:spPr>
            <a:ln w="12700">
              <a:solidFill>
                <a:srgbClr val="000000"/>
              </a:solidFill>
              <a:prstDash val="solid"/>
            </a:ln>
          </c:spPr>
          <c:marker>
            <c:symbol val="none"/>
          </c:marker>
          <c:dLbls>
            <c:dLbl>
              <c:idx val="0"/>
              <c:layout>
                <c:manualLayout>
                  <c:x val="0.12082222527443669"/>
                  <c:y val="1.4853950754845406E-2"/>
                </c:manualLayout>
              </c:layout>
              <c:tx>
                <c:strRef>
                  <c:f>Markedstilpasning!$C$88</c:f>
                  <c:strCache>
                    <c:ptCount val="1"/>
                  </c:strCache>
                </c:strRef>
              </c:tx>
              <c:spPr>
                <a:noFill/>
                <a:ln w="25400">
                  <a:noFill/>
                </a:ln>
              </c:spPr>
              <c:txPr>
                <a:bodyPr/>
                <a:lstStyle/>
                <a:p>
                  <a:pPr>
                    <a:defRPr sz="725" b="0" i="0" u="none" strike="noStrike" baseline="0">
                      <a:solidFill>
                        <a:srgbClr val="000000"/>
                      </a:solidFill>
                      <a:latin typeface="Times New Roman"/>
                      <a:ea typeface="Times New Roman"/>
                      <a:cs typeface="Times New Roman"/>
                    </a:defRPr>
                  </a:pPr>
                  <a:endParaRPr lang="nb-NO"/>
                </a:p>
              </c:txPr>
              <c:dLblPos val="r"/>
            </c:dLbl>
            <c:delete val="1"/>
          </c:dLbls>
          <c:xVal>
            <c:numRef>
              <c:f>Markedstilpasning!$B$152:$B$172</c:f>
              <c:numCache>
                <c:formatCode>0</c:formatCode>
                <c:ptCount val="17"/>
                <c:pt idx="0">
                  <c:v>0</c:v>
                </c:pt>
                <c:pt idx="1">
                  <c:v>200</c:v>
                </c:pt>
                <c:pt idx="2">
                  <c:v>400</c:v>
                </c:pt>
                <c:pt idx="3">
                  <c:v>600</c:v>
                </c:pt>
                <c:pt idx="4">
                  <c:v>800</c:v>
                </c:pt>
                <c:pt idx="5">
                  <c:v>1000</c:v>
                </c:pt>
                <c:pt idx="6">
                  <c:v>1200</c:v>
                </c:pt>
                <c:pt idx="7">
                  <c:v>1400</c:v>
                </c:pt>
                <c:pt idx="8">
                  <c:v>1600</c:v>
                </c:pt>
                <c:pt idx="9">
                  <c:v>1800</c:v>
                </c:pt>
                <c:pt idx="10">
                  <c:v>2000</c:v>
                </c:pt>
                <c:pt idx="11">
                  <c:v>2200</c:v>
                </c:pt>
                <c:pt idx="12">
                  <c:v>2400</c:v>
                </c:pt>
                <c:pt idx="13">
                  <c:v>2600</c:v>
                </c:pt>
                <c:pt idx="14">
                  <c:v>2800</c:v>
                </c:pt>
                <c:pt idx="15">
                  <c:v>3000</c:v>
                </c:pt>
                <c:pt idx="16">
                  <c:v>3200</c:v>
                </c:pt>
              </c:numCache>
            </c:numRef>
          </c:xVal>
          <c:yVal>
            <c:numRef>
              <c:f>Markedstilpasning!$M$152:$M$172</c:f>
              <c:numCache>
                <c:formatCode>General</c:formatCode>
                <c:ptCount val="17"/>
                <c:pt idx="0" formatCode="_-* #,##0_k_r_-;\-* #,##0_k_r_-;_-* &quot;-&quot;??_k_r_-;_-@_-">
                  <c:v>0</c:v>
                </c:pt>
                <c:pt idx="2" formatCode="_-* #,##0_k_r_-;\-* #,##0_k_r_-;_-* &quot;-&quot;??_k_r_-;_-@_-">
                  <c:v>0</c:v>
                </c:pt>
                <c:pt idx="4" formatCode="_-* #,##0_k_r_-;\-* #,##0_k_r_-;_-* &quot;-&quot;??_k_r_-;_-@_-">
                  <c:v>0</c:v>
                </c:pt>
                <c:pt idx="6" formatCode="_-* #,##0_k_r_-;\-* #,##0_k_r_-;_-* &quot;-&quot;??_k_r_-;_-@_-">
                  <c:v>0</c:v>
                </c:pt>
                <c:pt idx="8" formatCode="_-* #,##0_k_r_-;\-* #,##0_k_r_-;_-* &quot;-&quot;??_k_r_-;_-@_-">
                  <c:v>0</c:v>
                </c:pt>
                <c:pt idx="10" formatCode="_-* #,##0_k_r_-;\-* #,##0_k_r_-;_-* &quot;-&quot;??_k_r_-;_-@_-">
                  <c:v>0</c:v>
                </c:pt>
                <c:pt idx="12" formatCode="_-* #,##0_k_r_-;\-* #,##0_k_r_-;_-* &quot;-&quot;??_k_r_-;_-@_-">
                  <c:v>0</c:v>
                </c:pt>
                <c:pt idx="14" formatCode="_-* #,##0_k_r_-;\-* #,##0_k_r_-;_-* &quot;-&quot;??_k_r_-;_-@_-">
                  <c:v>0</c:v>
                </c:pt>
                <c:pt idx="16" formatCode="_-* #,##0_k_r_-;\-* #,##0_k_r_-;_-* &quot;-&quot;??_k_r_-;_-@_-">
                  <c:v>0</c:v>
                </c:pt>
              </c:numCache>
            </c:numRef>
          </c:yVal>
          <c:smooth val="1"/>
        </c:ser>
        <c:ser>
          <c:idx val="11"/>
          <c:order val="10"/>
          <c:spPr>
            <a:ln w="3175">
              <a:solidFill>
                <a:srgbClr val="0000FF"/>
              </a:solidFill>
              <a:prstDash val="sysDash"/>
            </a:ln>
          </c:spPr>
          <c:marker>
            <c:symbol val="none"/>
          </c:marker>
          <c:xVal>
            <c:numRef>
              <c:f>Markedstilpasning!$B$154:$B$172</c:f>
              <c:numCache>
                <c:formatCode>0</c:formatCode>
                <c:ptCount val="15"/>
                <c:pt idx="0">
                  <c:v>400</c:v>
                </c:pt>
                <c:pt idx="1">
                  <c:v>600</c:v>
                </c:pt>
                <c:pt idx="2">
                  <c:v>800</c:v>
                </c:pt>
                <c:pt idx="3">
                  <c:v>1000</c:v>
                </c:pt>
                <c:pt idx="4">
                  <c:v>1200</c:v>
                </c:pt>
                <c:pt idx="5">
                  <c:v>1400</c:v>
                </c:pt>
                <c:pt idx="6">
                  <c:v>1600</c:v>
                </c:pt>
                <c:pt idx="7">
                  <c:v>1800</c:v>
                </c:pt>
                <c:pt idx="8">
                  <c:v>2000</c:v>
                </c:pt>
                <c:pt idx="9">
                  <c:v>2200</c:v>
                </c:pt>
                <c:pt idx="10">
                  <c:v>2400</c:v>
                </c:pt>
                <c:pt idx="11">
                  <c:v>2600</c:v>
                </c:pt>
                <c:pt idx="12">
                  <c:v>2800</c:v>
                </c:pt>
                <c:pt idx="13">
                  <c:v>3000</c:v>
                </c:pt>
                <c:pt idx="14">
                  <c:v>3200</c:v>
                </c:pt>
              </c:numCache>
            </c:numRef>
          </c:xVal>
          <c:yVal>
            <c:numRef>
              <c:f>Markedstilpasning!$D$154:$D$172</c:f>
              <c:numCache>
                <c:formatCode>General</c:formatCode>
                <c:ptCount val="15"/>
                <c:pt idx="0" formatCode="0">
                  <c:v>5425</c:v>
                </c:pt>
                <c:pt idx="2" formatCode="0">
                  <c:v>3762.5</c:v>
                </c:pt>
                <c:pt idx="4" formatCode="0">
                  <c:v>2908.3333333333348</c:v>
                </c:pt>
                <c:pt idx="6" formatCode="0">
                  <c:v>2431.25</c:v>
                </c:pt>
                <c:pt idx="8" formatCode="0">
                  <c:v>2225</c:v>
                </c:pt>
                <c:pt idx="10" formatCode="0">
                  <c:v>2254.1666666666656</c:v>
                </c:pt>
                <c:pt idx="12" formatCode="0">
                  <c:v>2503.5714285714294</c:v>
                </c:pt>
                <c:pt idx="14" formatCode="0">
                  <c:v>3165.625</c:v>
                </c:pt>
              </c:numCache>
            </c:numRef>
          </c:yVal>
          <c:smooth val="1"/>
        </c:ser>
        <c:axId val="146301696"/>
        <c:axId val="146800640"/>
      </c:scatterChart>
      <c:valAx>
        <c:axId val="146301696"/>
        <c:scaling>
          <c:orientation val="minMax"/>
        </c:scaling>
        <c:axPos val="b"/>
        <c:minorGridlines>
          <c:spPr>
            <a:ln w="3175">
              <a:solidFill>
                <a:srgbClr val="E3E3E3"/>
              </a:solidFill>
              <a:prstDash val="solid"/>
            </a:ln>
          </c:spPr>
        </c:minorGridlines>
        <c:title>
          <c:tx>
            <c:rich>
              <a:bodyPr/>
              <a:lstStyle/>
              <a:p>
                <a:pPr>
                  <a:defRPr sz="1100" b="1" i="0" u="none" strike="noStrike" baseline="0">
                    <a:solidFill>
                      <a:srgbClr val="000000"/>
                    </a:solidFill>
                    <a:latin typeface="Times New Roman"/>
                    <a:ea typeface="Times New Roman"/>
                    <a:cs typeface="Times New Roman"/>
                  </a:defRPr>
                </a:pPr>
                <a:r>
                  <a:rPr lang="nb-NO"/>
                  <a:t>Mengde</a:t>
                </a:r>
              </a:p>
            </c:rich>
          </c:tx>
          <c:layout>
            <c:manualLayout>
              <c:xMode val="edge"/>
              <c:yMode val="edge"/>
              <c:x val="0.45535714285714285"/>
              <c:y val="0.95977873598052865"/>
            </c:manualLayout>
          </c:layout>
          <c:spPr>
            <a:noFill/>
            <a:ln w="25400">
              <a:noFill/>
            </a:ln>
          </c:spPr>
        </c:title>
        <c:numFmt formatCode="0" sourceLinked="1"/>
        <c:tickLblPos val="nextTo"/>
        <c:spPr>
          <a:ln w="12700">
            <a:solidFill>
              <a:srgbClr val="000000"/>
            </a:solidFill>
            <a:prstDash val="solid"/>
          </a:ln>
        </c:spPr>
        <c:txPr>
          <a:bodyPr rot="0" vert="horz"/>
          <a:lstStyle/>
          <a:p>
            <a:pPr>
              <a:defRPr sz="825" b="0" i="0" u="none" strike="noStrike" baseline="0">
                <a:solidFill>
                  <a:srgbClr val="000000"/>
                </a:solidFill>
                <a:latin typeface="Times New Roman"/>
                <a:ea typeface="Times New Roman"/>
                <a:cs typeface="Times New Roman"/>
              </a:defRPr>
            </a:pPr>
            <a:endParaRPr lang="nb-NO"/>
          </a:p>
        </c:txPr>
        <c:crossAx val="146800640"/>
        <c:crosses val="autoZero"/>
        <c:crossBetween val="midCat"/>
      </c:valAx>
      <c:valAx>
        <c:axId val="146800640"/>
        <c:scaling>
          <c:orientation val="minMax"/>
        </c:scaling>
        <c:axPos val="l"/>
        <c:minorGridlines>
          <c:spPr>
            <a:ln w="3175">
              <a:solidFill>
                <a:srgbClr val="E3E3E3"/>
              </a:solidFill>
              <a:prstDash val="solid"/>
            </a:ln>
          </c:spPr>
        </c:minorGridlines>
        <c:title>
          <c:tx>
            <c:rich>
              <a:bodyPr/>
              <a:lstStyle/>
              <a:p>
                <a:pPr>
                  <a:defRPr sz="1100" b="1" i="0" u="none" strike="noStrike" baseline="0">
                    <a:solidFill>
                      <a:srgbClr val="000000"/>
                    </a:solidFill>
                    <a:latin typeface="Times New Roman"/>
                    <a:ea typeface="Times New Roman"/>
                    <a:cs typeface="Times New Roman"/>
                  </a:defRPr>
                </a:pPr>
                <a:r>
                  <a:rPr lang="nb-NO"/>
                  <a:t>Kroner</a:t>
                </a:r>
              </a:p>
            </c:rich>
          </c:tx>
          <c:layout>
            <c:manualLayout>
              <c:xMode val="edge"/>
              <c:yMode val="edge"/>
              <c:x val="1.2500000000000001E-2"/>
              <c:y val="0.49930685686848347"/>
            </c:manualLayout>
          </c:layout>
          <c:spPr>
            <a:noFill/>
            <a:ln w="25400">
              <a:noFill/>
            </a:ln>
          </c:spPr>
        </c:title>
        <c:numFmt formatCode="General" sourceLinked="1"/>
        <c:tickLblPos val="nextTo"/>
        <c:spPr>
          <a:ln w="3175">
            <a:solidFill>
              <a:srgbClr val="000000"/>
            </a:solidFill>
            <a:prstDash val="solid"/>
          </a:ln>
        </c:spPr>
        <c:txPr>
          <a:bodyPr rot="0" vert="horz"/>
          <a:lstStyle/>
          <a:p>
            <a:pPr>
              <a:defRPr sz="825" b="0" i="0" u="none" strike="noStrike" baseline="0">
                <a:solidFill>
                  <a:srgbClr val="000000"/>
                </a:solidFill>
                <a:latin typeface="Times New Roman"/>
                <a:ea typeface="Times New Roman"/>
                <a:cs typeface="Times New Roman"/>
              </a:defRPr>
            </a:pPr>
            <a:endParaRPr lang="nb-NO"/>
          </a:p>
        </c:txPr>
        <c:crossAx val="146301696"/>
        <c:crosses val="autoZero"/>
        <c:crossBetween val="midCat"/>
      </c:valAx>
      <c:spPr>
        <a:noFill/>
        <a:ln w="25400">
          <a:noFill/>
        </a:ln>
      </c:spPr>
    </c:plotArea>
    <c:plotVisOnly val="1"/>
    <c:dispBlanksAs val="span"/>
  </c:chart>
  <c:spPr>
    <a:solidFill>
      <a:srgbClr val="FFFFFF"/>
    </a:solidFill>
    <a:ln w="3175">
      <a:solidFill>
        <a:srgbClr val="000000"/>
      </a:solidFill>
      <a:prstDash val="solid"/>
    </a:ln>
    <a:effectLst>
      <a:outerShdw dist="35921" dir="2700000" algn="br">
        <a:srgbClr val="000000"/>
      </a:outerShdw>
    </a:effectLst>
  </c:spPr>
  <c:txPr>
    <a:bodyPr/>
    <a:lstStyle/>
    <a:p>
      <a:pPr>
        <a:defRPr sz="1550" b="0" i="0" u="none" strike="noStrike" baseline="0">
          <a:solidFill>
            <a:srgbClr val="000000"/>
          </a:solidFill>
          <a:latin typeface="Times New Roman"/>
          <a:ea typeface="Times New Roman"/>
          <a:cs typeface="Times New Roman"/>
        </a:defRPr>
      </a:pPr>
      <a:endParaRPr lang="nb-NO"/>
    </a:p>
  </c:txPr>
  <c:externalData r:id="rId1"/>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nb-NO"/>
  <c:chart>
    <c:title>
      <c:tx>
        <c:rich>
          <a:bodyPr/>
          <a:lstStyle/>
          <a:p>
            <a:pPr>
              <a:defRPr sz="1175" b="1" i="0" u="none" strike="noStrike" baseline="0">
                <a:solidFill>
                  <a:srgbClr val="000000"/>
                </a:solidFill>
                <a:latin typeface="Times New Roman"/>
                <a:ea typeface="Times New Roman"/>
                <a:cs typeface="Times New Roman"/>
              </a:defRPr>
            </a:pPr>
            <a:r>
              <a:rPr lang="nb-NO"/>
              <a:t>Enhetsdiagram</a:t>
            </a:r>
          </a:p>
        </c:rich>
      </c:tx>
      <c:layout>
        <c:manualLayout>
          <c:xMode val="edge"/>
          <c:yMode val="edge"/>
          <c:x val="0.40535714285714286"/>
          <c:y val="6.9348174565067077E-3"/>
        </c:manualLayout>
      </c:layout>
      <c:spPr>
        <a:noFill/>
        <a:ln w="25400">
          <a:noFill/>
        </a:ln>
      </c:spPr>
    </c:title>
    <c:plotArea>
      <c:layout>
        <c:manualLayout>
          <c:layoutTarget val="inner"/>
          <c:xMode val="edge"/>
          <c:yMode val="edge"/>
          <c:x val="8.5714285714285715E-2"/>
          <c:y val="0.16227472848225688"/>
          <c:w val="0.83750000000000002"/>
          <c:h val="0.7461863583201217"/>
        </c:manualLayout>
      </c:layout>
      <c:scatterChart>
        <c:scatterStyle val="smoothMarker"/>
        <c:ser>
          <c:idx val="0"/>
          <c:order val="0"/>
          <c:spPr>
            <a:ln w="3175">
              <a:solidFill>
                <a:srgbClr val="000080"/>
              </a:solidFill>
              <a:prstDash val="solid"/>
            </a:ln>
          </c:spPr>
          <c:marker>
            <c:symbol val="none"/>
          </c:marker>
          <c:dLbls>
            <c:dLbl>
              <c:idx val="1"/>
              <c:layout>
                <c:manualLayout>
                  <c:x val="-3.5606376175915666E-2"/>
                  <c:y val="0.42650475778096403"/>
                </c:manualLayout>
              </c:layout>
              <c:tx>
                <c:strRef>
                  <c:f>Markedstilpasning!$C$83</c:f>
                  <c:strCache>
                    <c:ptCount val="1"/>
                    <c:pt idx="0">
                      <c:v>SEK</c:v>
                    </c:pt>
                  </c:strCache>
                </c:strRef>
              </c:tx>
              <c:spPr>
                <a:noFill/>
                <a:ln w="25400">
                  <a:noFill/>
                </a:ln>
              </c:spPr>
              <c:txPr>
                <a:bodyPr/>
                <a:lstStyle/>
                <a:p>
                  <a:pPr>
                    <a:defRPr sz="725" b="0" i="0" u="none" strike="noStrike" baseline="0">
                      <a:solidFill>
                        <a:srgbClr val="000000"/>
                      </a:solidFill>
                      <a:latin typeface="Times New Roman"/>
                      <a:ea typeface="Times New Roman"/>
                      <a:cs typeface="Times New Roman"/>
                    </a:defRPr>
                  </a:pPr>
                  <a:endParaRPr lang="nb-NO"/>
                </a:p>
              </c:txPr>
              <c:dLblPos val="r"/>
            </c:dLbl>
            <c:delete val="1"/>
          </c:dLbls>
          <c:xVal>
            <c:numRef>
              <c:f>Markedstilpasning!$B$153:$B$172</c:f>
              <c:numCache>
                <c:formatCode>0</c:formatCode>
                <c:ptCount val="16"/>
                <c:pt idx="0">
                  <c:v>200</c:v>
                </c:pt>
                <c:pt idx="1">
                  <c:v>400</c:v>
                </c:pt>
                <c:pt idx="2">
                  <c:v>600</c:v>
                </c:pt>
                <c:pt idx="3">
                  <c:v>800</c:v>
                </c:pt>
                <c:pt idx="4">
                  <c:v>1000</c:v>
                </c:pt>
                <c:pt idx="5">
                  <c:v>1200</c:v>
                </c:pt>
                <c:pt idx="6">
                  <c:v>1400</c:v>
                </c:pt>
                <c:pt idx="7">
                  <c:v>1600</c:v>
                </c:pt>
                <c:pt idx="8">
                  <c:v>1800</c:v>
                </c:pt>
                <c:pt idx="9">
                  <c:v>2000</c:v>
                </c:pt>
                <c:pt idx="10">
                  <c:v>2200</c:v>
                </c:pt>
                <c:pt idx="11">
                  <c:v>2400</c:v>
                </c:pt>
                <c:pt idx="12">
                  <c:v>2600</c:v>
                </c:pt>
                <c:pt idx="13">
                  <c:v>2800</c:v>
                </c:pt>
                <c:pt idx="14">
                  <c:v>3000</c:v>
                </c:pt>
                <c:pt idx="15">
                  <c:v>3200</c:v>
                </c:pt>
              </c:numCache>
            </c:numRef>
          </c:xVal>
          <c:yVal>
            <c:numRef>
              <c:f>Markedstilpasning!$C$153:$C$172</c:f>
              <c:numCache>
                <c:formatCode>0</c:formatCode>
                <c:ptCount val="16"/>
                <c:pt idx="1">
                  <c:v>5400</c:v>
                </c:pt>
                <c:pt idx="3">
                  <c:v>3800</c:v>
                </c:pt>
                <c:pt idx="5">
                  <c:v>2966.6666666666656</c:v>
                </c:pt>
                <c:pt idx="7">
                  <c:v>2500</c:v>
                </c:pt>
                <c:pt idx="9">
                  <c:v>2300</c:v>
                </c:pt>
                <c:pt idx="11">
                  <c:v>2333.3333333333348</c:v>
                </c:pt>
                <c:pt idx="13">
                  <c:v>2585.7142857142853</c:v>
                </c:pt>
                <c:pt idx="15">
                  <c:v>3250</c:v>
                </c:pt>
              </c:numCache>
            </c:numRef>
          </c:yVal>
          <c:smooth val="1"/>
        </c:ser>
        <c:ser>
          <c:idx val="2"/>
          <c:order val="1"/>
          <c:spPr>
            <a:ln w="3175">
              <a:solidFill>
                <a:srgbClr val="008000"/>
              </a:solidFill>
              <a:prstDash val="solid"/>
            </a:ln>
          </c:spPr>
          <c:marker>
            <c:symbol val="none"/>
          </c:marker>
          <c:dLbls>
            <c:dLbl>
              <c:idx val="1"/>
              <c:layout>
                <c:manualLayout>
                  <c:x val="-3.5606376175915659E-2"/>
                  <c:y val="0.28842475501606485"/>
                </c:manualLayout>
              </c:layout>
              <c:tx>
                <c:strRef>
                  <c:f>Markedstilpasning!$C$86</c:f>
                  <c:strCache>
                    <c:ptCount val="1"/>
                    <c:pt idx="0">
                      <c:v>VEK</c:v>
                    </c:pt>
                  </c:strCache>
                </c:strRef>
              </c:tx>
              <c:spPr>
                <a:noFill/>
                <a:ln w="25400">
                  <a:noFill/>
                </a:ln>
              </c:spPr>
              <c:txPr>
                <a:bodyPr/>
                <a:lstStyle/>
                <a:p>
                  <a:pPr>
                    <a:defRPr sz="725" b="0" i="0" u="none" strike="noStrike" baseline="0">
                      <a:solidFill>
                        <a:srgbClr val="000000"/>
                      </a:solidFill>
                      <a:latin typeface="Times New Roman"/>
                      <a:ea typeface="Times New Roman"/>
                      <a:cs typeface="Times New Roman"/>
                    </a:defRPr>
                  </a:pPr>
                  <a:endParaRPr lang="nb-NO"/>
                </a:p>
              </c:txPr>
              <c:dLblPos val="r"/>
            </c:dLbl>
            <c:delete val="1"/>
          </c:dLbls>
          <c:xVal>
            <c:numRef>
              <c:f>Markedstilpasning!$B$153:$B$172</c:f>
              <c:numCache>
                <c:formatCode>0</c:formatCode>
                <c:ptCount val="16"/>
                <c:pt idx="0">
                  <c:v>200</c:v>
                </c:pt>
                <c:pt idx="1">
                  <c:v>400</c:v>
                </c:pt>
                <c:pt idx="2">
                  <c:v>600</c:v>
                </c:pt>
                <c:pt idx="3">
                  <c:v>800</c:v>
                </c:pt>
                <c:pt idx="4">
                  <c:v>1000</c:v>
                </c:pt>
                <c:pt idx="5">
                  <c:v>1200</c:v>
                </c:pt>
                <c:pt idx="6">
                  <c:v>1400</c:v>
                </c:pt>
                <c:pt idx="7">
                  <c:v>1600</c:v>
                </c:pt>
                <c:pt idx="8">
                  <c:v>1800</c:v>
                </c:pt>
                <c:pt idx="9">
                  <c:v>2000</c:v>
                </c:pt>
                <c:pt idx="10">
                  <c:v>2200</c:v>
                </c:pt>
                <c:pt idx="11">
                  <c:v>2400</c:v>
                </c:pt>
                <c:pt idx="12">
                  <c:v>2600</c:v>
                </c:pt>
                <c:pt idx="13">
                  <c:v>2800</c:v>
                </c:pt>
                <c:pt idx="14">
                  <c:v>3000</c:v>
                </c:pt>
                <c:pt idx="15">
                  <c:v>3200</c:v>
                </c:pt>
              </c:numCache>
            </c:numRef>
          </c:xVal>
          <c:yVal>
            <c:numRef>
              <c:f>Markedstilpasning!$E$153:$E$172</c:f>
              <c:numCache>
                <c:formatCode>0</c:formatCode>
                <c:ptCount val="16"/>
                <c:pt idx="1">
                  <c:v>3400</c:v>
                </c:pt>
                <c:pt idx="3">
                  <c:v>2800</c:v>
                </c:pt>
                <c:pt idx="5">
                  <c:v>2300</c:v>
                </c:pt>
                <c:pt idx="7">
                  <c:v>2000</c:v>
                </c:pt>
                <c:pt idx="9">
                  <c:v>1900</c:v>
                </c:pt>
                <c:pt idx="11">
                  <c:v>2000.0000000000002</c:v>
                </c:pt>
                <c:pt idx="13">
                  <c:v>2300</c:v>
                </c:pt>
                <c:pt idx="15">
                  <c:v>3000</c:v>
                </c:pt>
              </c:numCache>
            </c:numRef>
          </c:yVal>
          <c:smooth val="1"/>
        </c:ser>
        <c:ser>
          <c:idx val="3"/>
          <c:order val="2"/>
          <c:spPr>
            <a:ln w="3175">
              <a:solidFill>
                <a:srgbClr val="008000"/>
              </a:solidFill>
              <a:prstDash val="sysDash"/>
            </a:ln>
          </c:spPr>
          <c:marker>
            <c:symbol val="none"/>
          </c:marker>
          <c:xVal>
            <c:numRef>
              <c:f>Markedstilpasning!$B$152:$B$172</c:f>
              <c:numCache>
                <c:formatCode>0</c:formatCode>
                <c:ptCount val="17"/>
                <c:pt idx="0">
                  <c:v>0</c:v>
                </c:pt>
                <c:pt idx="1">
                  <c:v>200</c:v>
                </c:pt>
                <c:pt idx="2">
                  <c:v>400</c:v>
                </c:pt>
                <c:pt idx="3">
                  <c:v>600</c:v>
                </c:pt>
                <c:pt idx="4">
                  <c:v>800</c:v>
                </c:pt>
                <c:pt idx="5">
                  <c:v>1000</c:v>
                </c:pt>
                <c:pt idx="6">
                  <c:v>1200</c:v>
                </c:pt>
                <c:pt idx="7">
                  <c:v>1400</c:v>
                </c:pt>
                <c:pt idx="8">
                  <c:v>1600</c:v>
                </c:pt>
                <c:pt idx="9">
                  <c:v>1800</c:v>
                </c:pt>
                <c:pt idx="10">
                  <c:v>2000</c:v>
                </c:pt>
                <c:pt idx="11">
                  <c:v>2200</c:v>
                </c:pt>
                <c:pt idx="12">
                  <c:v>2400</c:v>
                </c:pt>
                <c:pt idx="13">
                  <c:v>2600</c:v>
                </c:pt>
                <c:pt idx="14">
                  <c:v>2800</c:v>
                </c:pt>
                <c:pt idx="15">
                  <c:v>3000</c:v>
                </c:pt>
                <c:pt idx="16">
                  <c:v>3200</c:v>
                </c:pt>
              </c:numCache>
            </c:numRef>
          </c:xVal>
          <c:yVal>
            <c:numRef>
              <c:f>Markedstilpasning!$F$152:$F$172</c:f>
              <c:numCache>
                <c:formatCode>General</c:formatCode>
                <c:ptCount val="17"/>
                <c:pt idx="2" formatCode="0">
                  <c:v>0</c:v>
                </c:pt>
                <c:pt idx="4" formatCode="0">
                  <c:v>0</c:v>
                </c:pt>
                <c:pt idx="6" formatCode="0">
                  <c:v>0</c:v>
                </c:pt>
                <c:pt idx="8" formatCode="0">
                  <c:v>0</c:v>
                </c:pt>
                <c:pt idx="10" formatCode="0">
                  <c:v>0</c:v>
                </c:pt>
                <c:pt idx="12" formatCode="0">
                  <c:v>0</c:v>
                </c:pt>
                <c:pt idx="14" formatCode="0">
                  <c:v>0</c:v>
                </c:pt>
                <c:pt idx="16" formatCode="0">
                  <c:v>0</c:v>
                </c:pt>
              </c:numCache>
            </c:numRef>
          </c:yVal>
          <c:smooth val="1"/>
        </c:ser>
        <c:ser>
          <c:idx val="4"/>
          <c:order val="3"/>
          <c:spPr>
            <a:ln w="3175">
              <a:solidFill>
                <a:srgbClr val="000000"/>
              </a:solidFill>
              <a:prstDash val="solid"/>
            </a:ln>
          </c:spPr>
          <c:marker>
            <c:symbol val="none"/>
          </c:marker>
          <c:dLbls>
            <c:dLbl>
              <c:idx val="0"/>
              <c:layout>
                <c:manualLayout>
                  <c:x val="1.2250781692117643E-2"/>
                  <c:y val="0.35638596608983086"/>
                </c:manualLayout>
              </c:layout>
              <c:tx>
                <c:strRef>
                  <c:f>Markedstilpasning!$C$87</c:f>
                  <c:strCache>
                    <c:ptCount val="1"/>
                    <c:pt idx="0">
                      <c:v>DEK</c:v>
                    </c:pt>
                  </c:strCache>
                </c:strRef>
              </c:tx>
              <c:spPr>
                <a:noFill/>
                <a:ln w="25400">
                  <a:noFill/>
                </a:ln>
              </c:spPr>
              <c:txPr>
                <a:bodyPr/>
                <a:lstStyle/>
                <a:p>
                  <a:pPr>
                    <a:defRPr sz="725" b="0" i="0" u="none" strike="noStrike" baseline="0">
                      <a:solidFill>
                        <a:srgbClr val="000000"/>
                      </a:solidFill>
                      <a:latin typeface="Times New Roman"/>
                      <a:ea typeface="Times New Roman"/>
                      <a:cs typeface="Times New Roman"/>
                    </a:defRPr>
                  </a:pPr>
                  <a:endParaRPr lang="nb-NO"/>
                </a:p>
              </c:txPr>
              <c:dLblPos val="r"/>
            </c:dLbl>
            <c:delete val="1"/>
          </c:dLbls>
          <c:xVal>
            <c:numRef>
              <c:f>Markedstilpasning!$B$153:$B$172</c:f>
              <c:numCache>
                <c:formatCode>0</c:formatCode>
                <c:ptCount val="16"/>
                <c:pt idx="0">
                  <c:v>200</c:v>
                </c:pt>
                <c:pt idx="1">
                  <c:v>400</c:v>
                </c:pt>
                <c:pt idx="2">
                  <c:v>600</c:v>
                </c:pt>
                <c:pt idx="3">
                  <c:v>800</c:v>
                </c:pt>
                <c:pt idx="4">
                  <c:v>1000</c:v>
                </c:pt>
                <c:pt idx="5">
                  <c:v>1200</c:v>
                </c:pt>
                <c:pt idx="6">
                  <c:v>1400</c:v>
                </c:pt>
                <c:pt idx="7">
                  <c:v>1600</c:v>
                </c:pt>
                <c:pt idx="8">
                  <c:v>1800</c:v>
                </c:pt>
                <c:pt idx="9">
                  <c:v>2000</c:v>
                </c:pt>
                <c:pt idx="10">
                  <c:v>2200</c:v>
                </c:pt>
                <c:pt idx="11">
                  <c:v>2400</c:v>
                </c:pt>
                <c:pt idx="12">
                  <c:v>2600</c:v>
                </c:pt>
                <c:pt idx="13">
                  <c:v>2800</c:v>
                </c:pt>
                <c:pt idx="14">
                  <c:v>3000</c:v>
                </c:pt>
                <c:pt idx="15">
                  <c:v>3200</c:v>
                </c:pt>
              </c:numCache>
            </c:numRef>
          </c:xVal>
          <c:yVal>
            <c:numRef>
              <c:f>Markedstilpasning!$G$153:$G$172</c:f>
              <c:numCache>
                <c:formatCode>General</c:formatCode>
                <c:ptCount val="16"/>
                <c:pt idx="0" formatCode="0">
                  <c:v>3400</c:v>
                </c:pt>
                <c:pt idx="2" formatCode="0">
                  <c:v>2200</c:v>
                </c:pt>
                <c:pt idx="4" formatCode="0">
                  <c:v>1300</c:v>
                </c:pt>
                <c:pt idx="6" formatCode="0">
                  <c:v>1100</c:v>
                </c:pt>
                <c:pt idx="8" formatCode="0">
                  <c:v>1500</c:v>
                </c:pt>
                <c:pt idx="10" formatCode="0">
                  <c:v>2500.0000000000023</c:v>
                </c:pt>
                <c:pt idx="12" formatCode="0">
                  <c:v>4099.9999999999982</c:v>
                </c:pt>
                <c:pt idx="14" formatCode="0">
                  <c:v>7900</c:v>
                </c:pt>
              </c:numCache>
            </c:numRef>
          </c:yVal>
          <c:smooth val="1"/>
        </c:ser>
        <c:ser>
          <c:idx val="5"/>
          <c:order val="4"/>
          <c:spPr>
            <a:ln w="3175">
              <a:solidFill>
                <a:srgbClr val="000000"/>
              </a:solidFill>
              <a:prstDash val="sysDash"/>
            </a:ln>
          </c:spPr>
          <c:marker>
            <c:symbol val="none"/>
          </c:marker>
          <c:xVal>
            <c:numRef>
              <c:f>Markedstilpasning!$B$152:$B$172</c:f>
              <c:numCache>
                <c:formatCode>0</c:formatCode>
                <c:ptCount val="17"/>
                <c:pt idx="0">
                  <c:v>0</c:v>
                </c:pt>
                <c:pt idx="1">
                  <c:v>200</c:v>
                </c:pt>
                <c:pt idx="2">
                  <c:v>400</c:v>
                </c:pt>
                <c:pt idx="3">
                  <c:v>600</c:v>
                </c:pt>
                <c:pt idx="4">
                  <c:v>800</c:v>
                </c:pt>
                <c:pt idx="5">
                  <c:v>1000</c:v>
                </c:pt>
                <c:pt idx="6">
                  <c:v>1200</c:v>
                </c:pt>
                <c:pt idx="7">
                  <c:v>1400</c:v>
                </c:pt>
                <c:pt idx="8">
                  <c:v>1600</c:v>
                </c:pt>
                <c:pt idx="9">
                  <c:v>1800</c:v>
                </c:pt>
                <c:pt idx="10">
                  <c:v>2000</c:v>
                </c:pt>
                <c:pt idx="11">
                  <c:v>2200</c:v>
                </c:pt>
                <c:pt idx="12">
                  <c:v>2400</c:v>
                </c:pt>
                <c:pt idx="13">
                  <c:v>2600</c:v>
                </c:pt>
                <c:pt idx="14">
                  <c:v>2800</c:v>
                </c:pt>
                <c:pt idx="15">
                  <c:v>3000</c:v>
                </c:pt>
                <c:pt idx="16">
                  <c:v>3200</c:v>
                </c:pt>
              </c:numCache>
            </c:numRef>
          </c:xVal>
          <c:yVal>
            <c:numRef>
              <c:f>Markedstilpasning!$H$152:$H$172</c:f>
              <c:numCache>
                <c:formatCode>0</c:formatCode>
                <c:ptCount val="17"/>
                <c:pt idx="1">
                  <c:v>0</c:v>
                </c:pt>
                <c:pt idx="3">
                  <c:v>0</c:v>
                </c:pt>
                <c:pt idx="5">
                  <c:v>0</c:v>
                </c:pt>
                <c:pt idx="7">
                  <c:v>0</c:v>
                </c:pt>
                <c:pt idx="9">
                  <c:v>0</c:v>
                </c:pt>
                <c:pt idx="11">
                  <c:v>0</c:v>
                </c:pt>
                <c:pt idx="13">
                  <c:v>0</c:v>
                </c:pt>
                <c:pt idx="15">
                  <c:v>0</c:v>
                </c:pt>
              </c:numCache>
            </c:numRef>
          </c:yVal>
          <c:smooth val="1"/>
        </c:ser>
        <c:ser>
          <c:idx val="6"/>
          <c:order val="5"/>
          <c:spPr>
            <a:ln w="3175">
              <a:solidFill>
                <a:srgbClr val="FF0000"/>
              </a:solidFill>
              <a:prstDash val="solid"/>
            </a:ln>
          </c:spPr>
          <c:marker>
            <c:symbol val="none"/>
          </c:marker>
          <c:dLbls>
            <c:dLbl>
              <c:idx val="1"/>
              <c:layout>
                <c:manualLayout>
                  <c:x val="-3.9177804747344204E-2"/>
                  <c:y val="0.19577558666248823"/>
                </c:manualLayout>
              </c:layout>
              <c:tx>
                <c:strRef>
                  <c:f>Markedstilpasning!$C$84</c:f>
                  <c:strCache>
                    <c:ptCount val="1"/>
                    <c:pt idx="0">
                      <c:v>Pris</c:v>
                    </c:pt>
                  </c:strCache>
                </c:strRef>
              </c:tx>
              <c:spPr>
                <a:noFill/>
                <a:ln w="25400">
                  <a:noFill/>
                </a:ln>
              </c:spPr>
              <c:txPr>
                <a:bodyPr/>
                <a:lstStyle/>
                <a:p>
                  <a:pPr>
                    <a:defRPr sz="725" b="0" i="0" u="none" strike="noStrike" baseline="0">
                      <a:solidFill>
                        <a:srgbClr val="000000"/>
                      </a:solidFill>
                      <a:latin typeface="Times New Roman"/>
                      <a:ea typeface="Times New Roman"/>
                      <a:cs typeface="Times New Roman"/>
                    </a:defRPr>
                  </a:pPr>
                  <a:endParaRPr lang="nb-NO"/>
                </a:p>
              </c:txPr>
              <c:dLblPos val="r"/>
            </c:dLbl>
            <c:delete val="1"/>
          </c:dLbls>
          <c:xVal>
            <c:numRef>
              <c:f>Markedstilpasning!$B$153:$B$172</c:f>
              <c:numCache>
                <c:formatCode>0</c:formatCode>
                <c:ptCount val="16"/>
                <c:pt idx="0">
                  <c:v>200</c:v>
                </c:pt>
                <c:pt idx="1">
                  <c:v>400</c:v>
                </c:pt>
                <c:pt idx="2">
                  <c:v>600</c:v>
                </c:pt>
                <c:pt idx="3">
                  <c:v>800</c:v>
                </c:pt>
                <c:pt idx="4">
                  <c:v>1000</c:v>
                </c:pt>
                <c:pt idx="5">
                  <c:v>1200</c:v>
                </c:pt>
                <c:pt idx="6">
                  <c:v>1400</c:v>
                </c:pt>
                <c:pt idx="7">
                  <c:v>1600</c:v>
                </c:pt>
                <c:pt idx="8">
                  <c:v>1800</c:v>
                </c:pt>
                <c:pt idx="9">
                  <c:v>2000</c:v>
                </c:pt>
                <c:pt idx="10">
                  <c:v>2200</c:v>
                </c:pt>
                <c:pt idx="11">
                  <c:v>2400</c:v>
                </c:pt>
                <c:pt idx="12">
                  <c:v>2600</c:v>
                </c:pt>
                <c:pt idx="13">
                  <c:v>2800</c:v>
                </c:pt>
                <c:pt idx="14">
                  <c:v>3000</c:v>
                </c:pt>
                <c:pt idx="15">
                  <c:v>3200</c:v>
                </c:pt>
              </c:numCache>
            </c:numRef>
          </c:xVal>
          <c:yVal>
            <c:numRef>
              <c:f>Markedstilpasning!$I$153:$I$172</c:f>
              <c:numCache>
                <c:formatCode>0</c:formatCode>
                <c:ptCount val="16"/>
                <c:pt idx="1">
                  <c:v>2500</c:v>
                </c:pt>
                <c:pt idx="3">
                  <c:v>2500</c:v>
                </c:pt>
                <c:pt idx="5">
                  <c:v>2500</c:v>
                </c:pt>
                <c:pt idx="7">
                  <c:v>2500</c:v>
                </c:pt>
                <c:pt idx="9">
                  <c:v>2500</c:v>
                </c:pt>
                <c:pt idx="11">
                  <c:v>2500</c:v>
                </c:pt>
                <c:pt idx="13">
                  <c:v>2500</c:v>
                </c:pt>
                <c:pt idx="15">
                  <c:v>2500</c:v>
                </c:pt>
              </c:numCache>
            </c:numRef>
          </c:yVal>
          <c:smooth val="1"/>
        </c:ser>
        <c:ser>
          <c:idx val="7"/>
          <c:order val="6"/>
          <c:spPr>
            <a:ln w="3175">
              <a:solidFill>
                <a:srgbClr val="FF0000"/>
              </a:solidFill>
              <a:prstDash val="sysDash"/>
            </a:ln>
          </c:spPr>
          <c:marker>
            <c:symbol val="none"/>
          </c:marker>
          <c:xVal>
            <c:numRef>
              <c:f>Markedstilpasning!$B$152:$B$172</c:f>
              <c:numCache>
                <c:formatCode>0</c:formatCode>
                <c:ptCount val="17"/>
                <c:pt idx="0">
                  <c:v>0</c:v>
                </c:pt>
                <c:pt idx="1">
                  <c:v>200</c:v>
                </c:pt>
                <c:pt idx="2">
                  <c:v>400</c:v>
                </c:pt>
                <c:pt idx="3">
                  <c:v>600</c:v>
                </c:pt>
                <c:pt idx="4">
                  <c:v>800</c:v>
                </c:pt>
                <c:pt idx="5">
                  <c:v>1000</c:v>
                </c:pt>
                <c:pt idx="6">
                  <c:v>1200</c:v>
                </c:pt>
                <c:pt idx="7">
                  <c:v>1400</c:v>
                </c:pt>
                <c:pt idx="8">
                  <c:v>1600</c:v>
                </c:pt>
                <c:pt idx="9">
                  <c:v>1800</c:v>
                </c:pt>
                <c:pt idx="10">
                  <c:v>2000</c:v>
                </c:pt>
                <c:pt idx="11">
                  <c:v>2200</c:v>
                </c:pt>
                <c:pt idx="12">
                  <c:v>2400</c:v>
                </c:pt>
                <c:pt idx="13">
                  <c:v>2600</c:v>
                </c:pt>
                <c:pt idx="14">
                  <c:v>2800</c:v>
                </c:pt>
                <c:pt idx="15">
                  <c:v>3000</c:v>
                </c:pt>
                <c:pt idx="16">
                  <c:v>3200</c:v>
                </c:pt>
              </c:numCache>
            </c:numRef>
          </c:xVal>
          <c:yVal>
            <c:numRef>
              <c:f>Markedstilpasning!$J$152:$J$172</c:f>
              <c:numCache>
                <c:formatCode>General</c:formatCode>
                <c:ptCount val="17"/>
                <c:pt idx="2" formatCode="0">
                  <c:v>0</c:v>
                </c:pt>
                <c:pt idx="4" formatCode="0">
                  <c:v>0</c:v>
                </c:pt>
                <c:pt idx="6" formatCode="0">
                  <c:v>0</c:v>
                </c:pt>
                <c:pt idx="8" formatCode="0">
                  <c:v>0</c:v>
                </c:pt>
                <c:pt idx="10" formatCode="0">
                  <c:v>0</c:v>
                </c:pt>
                <c:pt idx="12" formatCode="0">
                  <c:v>0</c:v>
                </c:pt>
                <c:pt idx="14" formatCode="0">
                  <c:v>0</c:v>
                </c:pt>
                <c:pt idx="16" formatCode="0">
                  <c:v>0</c:v>
                </c:pt>
              </c:numCache>
            </c:numRef>
          </c:yVal>
          <c:smooth val="1"/>
        </c:ser>
        <c:ser>
          <c:idx val="8"/>
          <c:order val="7"/>
          <c:spPr>
            <a:ln w="3175">
              <a:solidFill>
                <a:srgbClr val="FF0000"/>
              </a:solidFill>
              <a:prstDash val="solid"/>
            </a:ln>
          </c:spPr>
          <c:marker>
            <c:symbol val="none"/>
          </c:marker>
          <c:dLbls>
            <c:dLbl>
              <c:idx val="0"/>
              <c:layout>
                <c:manualLayout>
                  <c:x val="1.2250781692117629E-2"/>
                  <c:y val="0.26234983424495284"/>
                </c:manualLayout>
              </c:layout>
              <c:tx>
                <c:strRef>
                  <c:f>Markedstilpasning!$C$85</c:f>
                  <c:strCache>
                    <c:ptCount val="1"/>
                  </c:strCache>
                </c:strRef>
              </c:tx>
              <c:spPr>
                <a:noFill/>
                <a:ln w="25400">
                  <a:noFill/>
                </a:ln>
              </c:spPr>
              <c:txPr>
                <a:bodyPr/>
                <a:lstStyle/>
                <a:p>
                  <a:pPr>
                    <a:defRPr sz="725" b="0" i="0" u="none" strike="noStrike" baseline="0">
                      <a:solidFill>
                        <a:srgbClr val="000000"/>
                      </a:solidFill>
                      <a:latin typeface="Times New Roman"/>
                      <a:ea typeface="Times New Roman"/>
                      <a:cs typeface="Times New Roman"/>
                    </a:defRPr>
                  </a:pPr>
                  <a:endParaRPr lang="nb-NO"/>
                </a:p>
              </c:txPr>
              <c:dLblPos val="r"/>
            </c:dLbl>
            <c:delete val="1"/>
          </c:dLbls>
          <c:xVal>
            <c:numRef>
              <c:f>Markedstilpasning!$B$153:$B$172</c:f>
              <c:numCache>
                <c:formatCode>0</c:formatCode>
                <c:ptCount val="16"/>
                <c:pt idx="0">
                  <c:v>200</c:v>
                </c:pt>
                <c:pt idx="1">
                  <c:v>400</c:v>
                </c:pt>
                <c:pt idx="2">
                  <c:v>600</c:v>
                </c:pt>
                <c:pt idx="3">
                  <c:v>800</c:v>
                </c:pt>
                <c:pt idx="4">
                  <c:v>1000</c:v>
                </c:pt>
                <c:pt idx="5">
                  <c:v>1200</c:v>
                </c:pt>
                <c:pt idx="6">
                  <c:v>1400</c:v>
                </c:pt>
                <c:pt idx="7">
                  <c:v>1600</c:v>
                </c:pt>
                <c:pt idx="8">
                  <c:v>1800</c:v>
                </c:pt>
                <c:pt idx="9">
                  <c:v>2000</c:v>
                </c:pt>
                <c:pt idx="10">
                  <c:v>2200</c:v>
                </c:pt>
                <c:pt idx="11">
                  <c:v>2400</c:v>
                </c:pt>
                <c:pt idx="12">
                  <c:v>2600</c:v>
                </c:pt>
                <c:pt idx="13">
                  <c:v>2800</c:v>
                </c:pt>
                <c:pt idx="14">
                  <c:v>3000</c:v>
                </c:pt>
                <c:pt idx="15">
                  <c:v>3200</c:v>
                </c:pt>
              </c:numCache>
            </c:numRef>
          </c:xVal>
          <c:yVal>
            <c:numRef>
              <c:f>Markedstilpasning!$K$153:$K$172</c:f>
              <c:numCache>
                <c:formatCode>General</c:formatCode>
                <c:ptCount val="16"/>
                <c:pt idx="0" formatCode="0">
                  <c:v>2500</c:v>
                </c:pt>
                <c:pt idx="2" formatCode="0">
                  <c:v>2500</c:v>
                </c:pt>
                <c:pt idx="4" formatCode="0">
                  <c:v>2500</c:v>
                </c:pt>
                <c:pt idx="6" formatCode="0">
                  <c:v>2500</c:v>
                </c:pt>
                <c:pt idx="8" formatCode="0">
                  <c:v>2500</c:v>
                </c:pt>
                <c:pt idx="10" formatCode="0">
                  <c:v>2500</c:v>
                </c:pt>
                <c:pt idx="12" formatCode="0">
                  <c:v>2500</c:v>
                </c:pt>
                <c:pt idx="14" formatCode="0">
                  <c:v>2500</c:v>
                </c:pt>
              </c:numCache>
            </c:numRef>
          </c:yVal>
          <c:smooth val="1"/>
        </c:ser>
        <c:ser>
          <c:idx val="9"/>
          <c:order val="8"/>
          <c:spPr>
            <a:ln w="3175">
              <a:solidFill>
                <a:srgbClr val="FF0000"/>
              </a:solidFill>
              <a:prstDash val="sysDash"/>
            </a:ln>
          </c:spPr>
          <c:marker>
            <c:symbol val="none"/>
          </c:marker>
          <c:xVal>
            <c:numRef>
              <c:f>Markedstilpasning!$B$152:$B$172</c:f>
              <c:numCache>
                <c:formatCode>0</c:formatCode>
                <c:ptCount val="17"/>
                <c:pt idx="0">
                  <c:v>0</c:v>
                </c:pt>
                <c:pt idx="1">
                  <c:v>200</c:v>
                </c:pt>
                <c:pt idx="2">
                  <c:v>400</c:v>
                </c:pt>
                <c:pt idx="3">
                  <c:v>600</c:v>
                </c:pt>
                <c:pt idx="4">
                  <c:v>800</c:v>
                </c:pt>
                <c:pt idx="5">
                  <c:v>1000</c:v>
                </c:pt>
                <c:pt idx="6">
                  <c:v>1200</c:v>
                </c:pt>
                <c:pt idx="7">
                  <c:v>1400</c:v>
                </c:pt>
                <c:pt idx="8">
                  <c:v>1600</c:v>
                </c:pt>
                <c:pt idx="9">
                  <c:v>1800</c:v>
                </c:pt>
                <c:pt idx="10">
                  <c:v>2000</c:v>
                </c:pt>
                <c:pt idx="11">
                  <c:v>2200</c:v>
                </c:pt>
                <c:pt idx="12">
                  <c:v>2400</c:v>
                </c:pt>
                <c:pt idx="13">
                  <c:v>2600</c:v>
                </c:pt>
                <c:pt idx="14">
                  <c:v>2800</c:v>
                </c:pt>
                <c:pt idx="15">
                  <c:v>3000</c:v>
                </c:pt>
                <c:pt idx="16">
                  <c:v>3200</c:v>
                </c:pt>
              </c:numCache>
            </c:numRef>
          </c:xVal>
          <c:yVal>
            <c:numRef>
              <c:f>Markedstilpasning!$L$152:$L$172</c:f>
              <c:numCache>
                <c:formatCode>0</c:formatCode>
                <c:ptCount val="17"/>
                <c:pt idx="1">
                  <c:v>0</c:v>
                </c:pt>
                <c:pt idx="3">
                  <c:v>0</c:v>
                </c:pt>
                <c:pt idx="5">
                  <c:v>0</c:v>
                </c:pt>
                <c:pt idx="7">
                  <c:v>0</c:v>
                </c:pt>
                <c:pt idx="9">
                  <c:v>0</c:v>
                </c:pt>
                <c:pt idx="11">
                  <c:v>0</c:v>
                </c:pt>
                <c:pt idx="13">
                  <c:v>0</c:v>
                </c:pt>
                <c:pt idx="15">
                  <c:v>0</c:v>
                </c:pt>
              </c:numCache>
            </c:numRef>
          </c:yVal>
          <c:smooth val="1"/>
        </c:ser>
        <c:ser>
          <c:idx val="10"/>
          <c:order val="9"/>
          <c:spPr>
            <a:ln w="12700">
              <a:solidFill>
                <a:srgbClr val="000000"/>
              </a:solidFill>
              <a:prstDash val="solid"/>
            </a:ln>
          </c:spPr>
          <c:marker>
            <c:symbol val="none"/>
          </c:marker>
          <c:dLbls>
            <c:dLbl>
              <c:idx val="0"/>
              <c:layout>
                <c:manualLayout>
                  <c:x val="0.12082222527443665"/>
                  <c:y val="1.4853950754845406E-2"/>
                </c:manualLayout>
              </c:layout>
              <c:tx>
                <c:strRef>
                  <c:f>Markedstilpasning!$C$88</c:f>
                  <c:strCache>
                    <c:ptCount val="1"/>
                  </c:strCache>
                </c:strRef>
              </c:tx>
              <c:spPr>
                <a:noFill/>
                <a:ln w="25400">
                  <a:noFill/>
                </a:ln>
              </c:spPr>
              <c:txPr>
                <a:bodyPr/>
                <a:lstStyle/>
                <a:p>
                  <a:pPr>
                    <a:defRPr sz="725" b="0" i="0" u="none" strike="noStrike" baseline="0">
                      <a:solidFill>
                        <a:srgbClr val="000000"/>
                      </a:solidFill>
                      <a:latin typeface="Times New Roman"/>
                      <a:ea typeface="Times New Roman"/>
                      <a:cs typeface="Times New Roman"/>
                    </a:defRPr>
                  </a:pPr>
                  <a:endParaRPr lang="nb-NO"/>
                </a:p>
              </c:txPr>
              <c:dLblPos val="r"/>
            </c:dLbl>
            <c:delete val="1"/>
          </c:dLbls>
          <c:xVal>
            <c:numRef>
              <c:f>Markedstilpasning!$B$152:$B$172</c:f>
              <c:numCache>
                <c:formatCode>0</c:formatCode>
                <c:ptCount val="17"/>
                <c:pt idx="0">
                  <c:v>0</c:v>
                </c:pt>
                <c:pt idx="1">
                  <c:v>200</c:v>
                </c:pt>
                <c:pt idx="2">
                  <c:v>400</c:v>
                </c:pt>
                <c:pt idx="3">
                  <c:v>600</c:v>
                </c:pt>
                <c:pt idx="4">
                  <c:v>800</c:v>
                </c:pt>
                <c:pt idx="5">
                  <c:v>1000</c:v>
                </c:pt>
                <c:pt idx="6">
                  <c:v>1200</c:v>
                </c:pt>
                <c:pt idx="7">
                  <c:v>1400</c:v>
                </c:pt>
                <c:pt idx="8">
                  <c:v>1600</c:v>
                </c:pt>
                <c:pt idx="9">
                  <c:v>1800</c:v>
                </c:pt>
                <c:pt idx="10">
                  <c:v>2000</c:v>
                </c:pt>
                <c:pt idx="11">
                  <c:v>2200</c:v>
                </c:pt>
                <c:pt idx="12">
                  <c:v>2400</c:v>
                </c:pt>
                <c:pt idx="13">
                  <c:v>2600</c:v>
                </c:pt>
                <c:pt idx="14">
                  <c:v>2800</c:v>
                </c:pt>
                <c:pt idx="15">
                  <c:v>3000</c:v>
                </c:pt>
                <c:pt idx="16">
                  <c:v>3200</c:v>
                </c:pt>
              </c:numCache>
            </c:numRef>
          </c:xVal>
          <c:yVal>
            <c:numRef>
              <c:f>Markedstilpasning!$M$152:$M$172</c:f>
              <c:numCache>
                <c:formatCode>General</c:formatCode>
                <c:ptCount val="17"/>
                <c:pt idx="0" formatCode="_-* #,##0_k_r_-;\-* #,##0_k_r_-;_-* &quot;-&quot;??_k_r_-;_-@_-">
                  <c:v>0</c:v>
                </c:pt>
                <c:pt idx="2" formatCode="_-* #,##0_k_r_-;\-* #,##0_k_r_-;_-* &quot;-&quot;??_k_r_-;_-@_-">
                  <c:v>0</c:v>
                </c:pt>
                <c:pt idx="4" formatCode="_-* #,##0_k_r_-;\-* #,##0_k_r_-;_-* &quot;-&quot;??_k_r_-;_-@_-">
                  <c:v>0</c:v>
                </c:pt>
                <c:pt idx="6" formatCode="_-* #,##0_k_r_-;\-* #,##0_k_r_-;_-* &quot;-&quot;??_k_r_-;_-@_-">
                  <c:v>0</c:v>
                </c:pt>
                <c:pt idx="8" formatCode="_-* #,##0_k_r_-;\-* #,##0_k_r_-;_-* &quot;-&quot;??_k_r_-;_-@_-">
                  <c:v>0</c:v>
                </c:pt>
                <c:pt idx="10" formatCode="_-* #,##0_k_r_-;\-* #,##0_k_r_-;_-* &quot;-&quot;??_k_r_-;_-@_-">
                  <c:v>0</c:v>
                </c:pt>
                <c:pt idx="12" formatCode="_-* #,##0_k_r_-;\-* #,##0_k_r_-;_-* &quot;-&quot;??_k_r_-;_-@_-">
                  <c:v>0</c:v>
                </c:pt>
                <c:pt idx="14" formatCode="_-* #,##0_k_r_-;\-* #,##0_k_r_-;_-* &quot;-&quot;??_k_r_-;_-@_-">
                  <c:v>0</c:v>
                </c:pt>
                <c:pt idx="16" formatCode="_-* #,##0_k_r_-;\-* #,##0_k_r_-;_-* &quot;-&quot;??_k_r_-;_-@_-">
                  <c:v>0</c:v>
                </c:pt>
              </c:numCache>
            </c:numRef>
          </c:yVal>
          <c:smooth val="1"/>
        </c:ser>
        <c:ser>
          <c:idx val="11"/>
          <c:order val="10"/>
          <c:spPr>
            <a:ln w="3175">
              <a:solidFill>
                <a:srgbClr val="0000FF"/>
              </a:solidFill>
              <a:prstDash val="sysDash"/>
            </a:ln>
          </c:spPr>
          <c:marker>
            <c:symbol val="none"/>
          </c:marker>
          <c:xVal>
            <c:numRef>
              <c:f>Markedstilpasning!$B$154:$B$172</c:f>
              <c:numCache>
                <c:formatCode>0</c:formatCode>
                <c:ptCount val="15"/>
                <c:pt idx="0">
                  <c:v>400</c:v>
                </c:pt>
                <c:pt idx="1">
                  <c:v>600</c:v>
                </c:pt>
                <c:pt idx="2">
                  <c:v>800</c:v>
                </c:pt>
                <c:pt idx="3">
                  <c:v>1000</c:v>
                </c:pt>
                <c:pt idx="4">
                  <c:v>1200</c:v>
                </c:pt>
                <c:pt idx="5">
                  <c:v>1400</c:v>
                </c:pt>
                <c:pt idx="6">
                  <c:v>1600</c:v>
                </c:pt>
                <c:pt idx="7">
                  <c:v>1800</c:v>
                </c:pt>
                <c:pt idx="8">
                  <c:v>2000</c:v>
                </c:pt>
                <c:pt idx="9">
                  <c:v>2200</c:v>
                </c:pt>
                <c:pt idx="10">
                  <c:v>2400</c:v>
                </c:pt>
                <c:pt idx="11">
                  <c:v>2600</c:v>
                </c:pt>
                <c:pt idx="12">
                  <c:v>2800</c:v>
                </c:pt>
                <c:pt idx="13">
                  <c:v>3000</c:v>
                </c:pt>
                <c:pt idx="14">
                  <c:v>3200</c:v>
                </c:pt>
              </c:numCache>
            </c:numRef>
          </c:xVal>
          <c:yVal>
            <c:numRef>
              <c:f>Markedstilpasning!$D$154:$D$172</c:f>
              <c:numCache>
                <c:formatCode>General</c:formatCode>
                <c:ptCount val="15"/>
                <c:pt idx="0" formatCode="0">
                  <c:v>5400</c:v>
                </c:pt>
                <c:pt idx="2" formatCode="0">
                  <c:v>3800</c:v>
                </c:pt>
                <c:pt idx="4" formatCode="0">
                  <c:v>2966.6666666666656</c:v>
                </c:pt>
                <c:pt idx="6" formatCode="0">
                  <c:v>2500</c:v>
                </c:pt>
                <c:pt idx="8" formatCode="0">
                  <c:v>2300</c:v>
                </c:pt>
                <c:pt idx="10" formatCode="0">
                  <c:v>2333.3333333333348</c:v>
                </c:pt>
                <c:pt idx="12" formatCode="0">
                  <c:v>2585.7142857142853</c:v>
                </c:pt>
                <c:pt idx="14" formatCode="0">
                  <c:v>3250</c:v>
                </c:pt>
              </c:numCache>
            </c:numRef>
          </c:yVal>
          <c:smooth val="1"/>
        </c:ser>
        <c:axId val="161005952"/>
        <c:axId val="161008640"/>
      </c:scatterChart>
      <c:valAx>
        <c:axId val="161005952"/>
        <c:scaling>
          <c:orientation val="minMax"/>
        </c:scaling>
        <c:axPos val="b"/>
        <c:minorGridlines>
          <c:spPr>
            <a:ln w="3175">
              <a:solidFill>
                <a:srgbClr val="E3E3E3"/>
              </a:solidFill>
              <a:prstDash val="solid"/>
            </a:ln>
          </c:spPr>
        </c:minorGridlines>
        <c:title>
          <c:tx>
            <c:rich>
              <a:bodyPr/>
              <a:lstStyle/>
              <a:p>
                <a:pPr>
                  <a:defRPr sz="1100" b="1" i="0" u="none" strike="noStrike" baseline="0">
                    <a:solidFill>
                      <a:srgbClr val="000000"/>
                    </a:solidFill>
                    <a:latin typeface="Times New Roman"/>
                    <a:ea typeface="Times New Roman"/>
                    <a:cs typeface="Times New Roman"/>
                  </a:defRPr>
                </a:pPr>
                <a:r>
                  <a:rPr lang="nb-NO"/>
                  <a:t>Mengde</a:t>
                </a:r>
              </a:p>
            </c:rich>
          </c:tx>
          <c:layout>
            <c:manualLayout>
              <c:xMode val="edge"/>
              <c:yMode val="edge"/>
              <c:x val="0.45535714285714285"/>
              <c:y val="0.95977873598052865"/>
            </c:manualLayout>
          </c:layout>
          <c:spPr>
            <a:noFill/>
            <a:ln w="25400">
              <a:noFill/>
            </a:ln>
          </c:spPr>
        </c:title>
        <c:numFmt formatCode="0" sourceLinked="1"/>
        <c:tickLblPos val="nextTo"/>
        <c:spPr>
          <a:ln w="12700">
            <a:solidFill>
              <a:srgbClr val="000000"/>
            </a:solidFill>
            <a:prstDash val="solid"/>
          </a:ln>
        </c:spPr>
        <c:txPr>
          <a:bodyPr rot="0" vert="horz"/>
          <a:lstStyle/>
          <a:p>
            <a:pPr>
              <a:defRPr sz="825" b="0" i="0" u="none" strike="noStrike" baseline="0">
                <a:solidFill>
                  <a:srgbClr val="000000"/>
                </a:solidFill>
                <a:latin typeface="Times New Roman"/>
                <a:ea typeface="Times New Roman"/>
                <a:cs typeface="Times New Roman"/>
              </a:defRPr>
            </a:pPr>
            <a:endParaRPr lang="nb-NO"/>
          </a:p>
        </c:txPr>
        <c:crossAx val="161008640"/>
        <c:crosses val="autoZero"/>
        <c:crossBetween val="midCat"/>
      </c:valAx>
      <c:valAx>
        <c:axId val="161008640"/>
        <c:scaling>
          <c:orientation val="minMax"/>
        </c:scaling>
        <c:axPos val="l"/>
        <c:minorGridlines>
          <c:spPr>
            <a:ln w="3175">
              <a:solidFill>
                <a:srgbClr val="E3E3E3"/>
              </a:solidFill>
              <a:prstDash val="solid"/>
            </a:ln>
          </c:spPr>
        </c:minorGridlines>
        <c:title>
          <c:tx>
            <c:rich>
              <a:bodyPr/>
              <a:lstStyle/>
              <a:p>
                <a:pPr>
                  <a:defRPr sz="1100" b="1" i="0" u="none" strike="noStrike" baseline="0">
                    <a:solidFill>
                      <a:srgbClr val="000000"/>
                    </a:solidFill>
                    <a:latin typeface="Times New Roman"/>
                    <a:ea typeface="Times New Roman"/>
                    <a:cs typeface="Times New Roman"/>
                  </a:defRPr>
                </a:pPr>
                <a:r>
                  <a:rPr lang="nb-NO"/>
                  <a:t>Kroner</a:t>
                </a:r>
              </a:p>
            </c:rich>
          </c:tx>
          <c:layout>
            <c:manualLayout>
              <c:xMode val="edge"/>
              <c:yMode val="edge"/>
              <c:x val="1.2500000000000001E-2"/>
              <c:y val="0.49930685686848336"/>
            </c:manualLayout>
          </c:layout>
          <c:spPr>
            <a:noFill/>
            <a:ln w="25400">
              <a:noFill/>
            </a:ln>
          </c:spPr>
        </c:title>
        <c:numFmt formatCode="General" sourceLinked="1"/>
        <c:tickLblPos val="nextTo"/>
        <c:spPr>
          <a:ln w="3175">
            <a:solidFill>
              <a:srgbClr val="000000"/>
            </a:solidFill>
            <a:prstDash val="solid"/>
          </a:ln>
        </c:spPr>
        <c:txPr>
          <a:bodyPr rot="0" vert="horz"/>
          <a:lstStyle/>
          <a:p>
            <a:pPr>
              <a:defRPr sz="825" b="0" i="0" u="none" strike="noStrike" baseline="0">
                <a:solidFill>
                  <a:srgbClr val="000000"/>
                </a:solidFill>
                <a:latin typeface="Times New Roman"/>
                <a:ea typeface="Times New Roman"/>
                <a:cs typeface="Times New Roman"/>
              </a:defRPr>
            </a:pPr>
            <a:endParaRPr lang="nb-NO"/>
          </a:p>
        </c:txPr>
        <c:crossAx val="161005952"/>
        <c:crosses val="autoZero"/>
        <c:crossBetween val="midCat"/>
      </c:valAx>
      <c:spPr>
        <a:noFill/>
        <a:ln w="25400">
          <a:noFill/>
        </a:ln>
      </c:spPr>
    </c:plotArea>
    <c:plotVisOnly val="1"/>
    <c:dispBlanksAs val="span"/>
  </c:chart>
  <c:spPr>
    <a:solidFill>
      <a:srgbClr val="FFFFFF"/>
    </a:solidFill>
    <a:ln w="3175">
      <a:solidFill>
        <a:srgbClr val="000000"/>
      </a:solidFill>
      <a:prstDash val="solid"/>
    </a:ln>
    <a:effectLst>
      <a:outerShdw dist="35921" dir="2700000" algn="br">
        <a:srgbClr val="000000"/>
      </a:outerShdw>
    </a:effectLst>
  </c:spPr>
  <c:txPr>
    <a:bodyPr/>
    <a:lstStyle/>
    <a:p>
      <a:pPr>
        <a:defRPr sz="1550" b="0" i="0" u="none" strike="noStrike" baseline="0">
          <a:solidFill>
            <a:srgbClr val="000000"/>
          </a:solidFill>
          <a:latin typeface="Times New Roman"/>
          <a:ea typeface="Times New Roman"/>
          <a:cs typeface="Times New Roman"/>
        </a:defRPr>
      </a:pPr>
      <a:endParaRPr lang="nb-NO"/>
    </a:p>
  </c:txPr>
  <c:externalData r:id="rId1"/>
</c:chartSpace>
</file>

<file path=word/drawings/drawing1.xml><?xml version="1.0" encoding="utf-8"?>
<c:userShapes xmlns:c="http://schemas.openxmlformats.org/drawingml/2006/chart">
  <cdr:relSizeAnchor xmlns:cdr="http://schemas.openxmlformats.org/drawingml/2006/chartDrawing">
    <cdr:from>
      <cdr:x>0.62032</cdr:x>
      <cdr:y>0.70017</cdr:y>
    </cdr:from>
    <cdr:to>
      <cdr:x>0.6221</cdr:x>
      <cdr:y>0.93414</cdr:y>
    </cdr:to>
    <cdr:sp macro="" textlink="">
      <cdr:nvSpPr>
        <cdr:cNvPr id="3" name="Rett pil 2"/>
        <cdr:cNvSpPr/>
      </cdr:nvSpPr>
      <cdr:spPr>
        <a:xfrm xmlns:a="http://schemas.openxmlformats.org/drawingml/2006/main" rot="16200000" flipH="1">
          <a:off x="3314700" y="3848098"/>
          <a:ext cx="9525" cy="1285876"/>
        </a:xfrm>
        <a:prstGeom xmlns:a="http://schemas.openxmlformats.org/drawingml/2006/main" prst="straightConnector1">
          <a:avLst/>
        </a:prstGeom>
        <a:ln xmlns:a="http://schemas.openxmlformats.org/drawingml/2006/main">
          <a:tailEnd type="arrow"/>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nb-NO"/>
        </a:p>
      </cdr:txBody>
    </cdr:sp>
  </cdr:relSizeAnchor>
  <cdr:relSizeAnchor xmlns:cdr="http://schemas.openxmlformats.org/drawingml/2006/chartDrawing">
    <cdr:from>
      <cdr:x>0.05526</cdr:x>
      <cdr:y>0.72444</cdr:y>
    </cdr:from>
    <cdr:to>
      <cdr:x>0.6221</cdr:x>
      <cdr:y>0.72617</cdr:y>
    </cdr:to>
    <cdr:sp macro="" textlink="">
      <cdr:nvSpPr>
        <cdr:cNvPr id="5" name="Rett linje 4"/>
        <cdr:cNvSpPr/>
      </cdr:nvSpPr>
      <cdr:spPr>
        <a:xfrm xmlns:a="http://schemas.openxmlformats.org/drawingml/2006/main" rot="10800000">
          <a:off x="295274" y="3981451"/>
          <a:ext cx="3028951" cy="9526"/>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nb-NO"/>
        </a:p>
      </cdr:txBody>
    </cdr:sp>
  </cdr:relSizeAnchor>
  <cdr:relSizeAnchor xmlns:cdr="http://schemas.openxmlformats.org/drawingml/2006/chartDrawing">
    <cdr:from>
      <cdr:x>0.06417</cdr:x>
      <cdr:y>0.7539</cdr:y>
    </cdr:from>
    <cdr:to>
      <cdr:x>0.62389</cdr:x>
      <cdr:y>0.75563</cdr:y>
    </cdr:to>
    <cdr:sp macro="" textlink="">
      <cdr:nvSpPr>
        <cdr:cNvPr id="9" name="Rett linje 8"/>
        <cdr:cNvSpPr/>
      </cdr:nvSpPr>
      <cdr:spPr>
        <a:xfrm xmlns:a="http://schemas.openxmlformats.org/drawingml/2006/main" rot="10800000">
          <a:off x="342899" y="4143376"/>
          <a:ext cx="2990851" cy="9526"/>
        </a:xfrm>
        <a:prstGeom xmlns:a="http://schemas.openxmlformats.org/drawingml/2006/main" prst="line">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p xmlns:a="http://schemas.openxmlformats.org/drawingml/2006/main">
          <a:endParaRPr lang="nb-NO"/>
        </a:p>
      </cdr:txBody>
    </cdr:sp>
  </cdr:relSizeAnchor>
</c:userShape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F30C3B-0443-42B1-8E34-0EFB28D56A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353</TotalTime>
  <Pages>14</Pages>
  <Words>2864</Words>
  <Characters>15180</Characters>
  <Application>Microsoft Office Word</Application>
  <DocSecurity>0</DocSecurity>
  <Lines>126</Lines>
  <Paragraphs>36</Paragraphs>
  <ScaleCrop>false</ScaleCrop>
  <HeadingPairs>
    <vt:vector size="2" baseType="variant">
      <vt:variant>
        <vt:lpstr>Tittel</vt:lpstr>
      </vt:variant>
      <vt:variant>
        <vt:i4>1</vt:i4>
      </vt:variant>
    </vt:vector>
  </HeadingPairs>
  <TitlesOfParts>
    <vt:vector size="1" baseType="lpstr">
      <vt:lpstr/>
    </vt:vector>
  </TitlesOfParts>
  <Company/>
  <LinksUpToDate>false</LinksUpToDate>
  <CharactersWithSpaces>18008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75</cp:revision>
  <dcterms:created xsi:type="dcterms:W3CDTF">2009-05-29T06:51:00Z</dcterms:created>
  <dcterms:modified xsi:type="dcterms:W3CDTF">2009-05-29T13:04:00Z</dcterms:modified>
</cp:coreProperties>
</file>